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95240" w14:textId="77777777" w:rsidR="006F45C2" w:rsidRDefault="00486DE6">
      <w:pPr>
        <w:spacing w:after="40"/>
        <w:jc w:val="center"/>
      </w:pPr>
      <w:r>
        <w:rPr>
          <w:rFonts w:ascii="Calibri" w:eastAsia="Calibri" w:hAnsi="Calibri" w:cs="Calibri"/>
          <w:b/>
          <w:bCs/>
          <w:color w:val="1F3864"/>
          <w:sz w:val="40"/>
          <w:szCs w:val="40"/>
        </w:rPr>
        <w:t>COURT LIAISON</w:t>
      </w:r>
    </w:p>
    <w:p w14:paraId="7C1549FF" w14:textId="77777777" w:rsidR="006F45C2" w:rsidRPr="009F0EE8" w:rsidRDefault="00486DE6">
      <w:pPr>
        <w:spacing w:after="40"/>
        <w:jc w:val="center"/>
        <w:rPr>
          <w:sz w:val="22"/>
          <w:szCs w:val="22"/>
        </w:rPr>
      </w:pPr>
      <w:r w:rsidRPr="009F0EE8">
        <w:rPr>
          <w:rFonts w:ascii="Calibri" w:eastAsia="Calibri" w:hAnsi="Calibri" w:cs="Calibri"/>
          <w:b/>
          <w:bCs/>
          <w:color w:val="B08D57"/>
          <w:sz w:val="28"/>
          <w:szCs w:val="28"/>
        </w:rPr>
        <w:t>Court Liaison Pilot Program — Cohort Two</w:t>
      </w:r>
    </w:p>
    <w:p w14:paraId="6E46C15A" w14:textId="4AD4FFA3" w:rsidR="00D45F40" w:rsidRPr="009F0EE8" w:rsidRDefault="00486DE6" w:rsidP="00D45F40">
      <w:pPr>
        <w:spacing w:after="260"/>
        <w:jc w:val="center"/>
        <w:rPr>
          <w:rFonts w:ascii="Calibri" w:eastAsia="Calibri" w:hAnsi="Calibri" w:cs="Calibri"/>
          <w:i/>
          <w:iCs/>
          <w:color w:val="595959"/>
          <w:sz w:val="22"/>
          <w:szCs w:val="22"/>
        </w:rPr>
      </w:pPr>
      <w:r w:rsidRPr="009F0EE8">
        <w:rPr>
          <w:rFonts w:ascii="Calibri" w:eastAsia="Calibri" w:hAnsi="Calibri" w:cs="Calibri"/>
          <w:i/>
          <w:iCs/>
          <w:color w:val="595959"/>
          <w:sz w:val="22"/>
          <w:szCs w:val="22"/>
        </w:rPr>
        <w:t>[County Name]  |  [Location]</w:t>
      </w:r>
      <w:r w:rsidR="00D45F40" w:rsidRPr="009F0EE8">
        <w:rPr>
          <w:rFonts w:ascii="Calibri" w:eastAsia="Calibri" w:hAnsi="Calibri" w:cs="Calibri"/>
          <w:i/>
          <w:iCs/>
          <w:color w:val="595959"/>
          <w:sz w:val="22"/>
          <w:szCs w:val="22"/>
        </w:rPr>
        <w:br/>
        <w:t>Full-Time  |  [Salary</w:t>
      </w:r>
      <w:r w:rsidR="009F0EE8" w:rsidRPr="009F0EE8">
        <w:rPr>
          <w:rFonts w:ascii="Calibri" w:eastAsia="Calibri" w:hAnsi="Calibri" w:cs="Calibri"/>
          <w:i/>
          <w:iCs/>
          <w:color w:val="595959"/>
          <w:sz w:val="22"/>
          <w:szCs w:val="22"/>
        </w:rPr>
        <w:t xml:space="preserve"> Range</w:t>
      </w:r>
      <w:r w:rsidR="00D45F40" w:rsidRPr="009F0EE8">
        <w:rPr>
          <w:rFonts w:ascii="Calibri" w:eastAsia="Calibri" w:hAnsi="Calibri" w:cs="Calibri"/>
          <w:i/>
          <w:iCs/>
          <w:color w:val="595959"/>
          <w:sz w:val="22"/>
          <w:szCs w:val="22"/>
        </w:rPr>
        <w:t>]</w:t>
      </w:r>
    </w:p>
    <w:p w14:paraId="31053D40" w14:textId="77777777" w:rsidR="006F45C2" w:rsidRDefault="006F45C2">
      <w:pPr>
        <w:pBdr>
          <w:bottom w:val="single" w:sz="12" w:space="6" w:color="1F3864"/>
        </w:pBdr>
        <w:spacing w:after="200"/>
      </w:pPr>
    </w:p>
    <w:tbl>
      <w:tblPr>
        <w:tblW w:w="10075" w:type="dxa"/>
        <w:tblBorders>
          <w:top w:val="single" w:sz="4" w:space="0" w:color="BFBFBF"/>
          <w:left w:val="single" w:sz="4" w:space="0" w:color="BFBFBF"/>
          <w:bottom w:val="single" w:sz="4" w:space="0" w:color="BFBFBF"/>
          <w:right w:val="single" w:sz="4" w:space="0" w:color="BFBFBF"/>
          <w:insideV w:val="single" w:sz="4" w:space="0" w:color="BFBFBF"/>
        </w:tblBorders>
        <w:tblCellMar>
          <w:left w:w="10" w:type="dxa"/>
          <w:right w:w="10" w:type="dxa"/>
        </w:tblCellMar>
        <w:tblLook w:val="0000" w:firstRow="0" w:lastRow="0" w:firstColumn="0" w:lastColumn="0" w:noHBand="0" w:noVBand="0"/>
      </w:tblPr>
      <w:tblGrid>
        <w:gridCol w:w="10075"/>
      </w:tblGrid>
      <w:tr w:rsidR="006F45C2" w14:paraId="1FD4DFE2" w14:textId="77777777" w:rsidTr="009F0EE8">
        <w:tc>
          <w:tcPr>
            <w:tcW w:w="10075" w:type="dxa"/>
            <w:shd w:val="clear" w:color="auto" w:fill="F2F2F2"/>
            <w:tcMar>
              <w:top w:w="160" w:type="dxa"/>
              <w:left w:w="200" w:type="dxa"/>
              <w:bottom w:w="160" w:type="dxa"/>
              <w:right w:w="200" w:type="dxa"/>
            </w:tcMar>
          </w:tcPr>
          <w:p w14:paraId="310B9346" w14:textId="7834521C" w:rsidR="006F45C2" w:rsidRPr="009F0EE8" w:rsidRDefault="009F0EE8">
            <w:pPr>
              <w:spacing w:after="80"/>
              <w:rPr>
                <w:sz w:val="28"/>
                <w:szCs w:val="28"/>
              </w:rPr>
            </w:pPr>
            <w:r>
              <w:rPr>
                <w:rFonts w:ascii="Calibri" w:eastAsia="Calibri" w:hAnsi="Calibri" w:cs="Calibri"/>
                <w:b/>
                <w:bCs/>
                <w:color w:val="1F3864"/>
                <w:sz w:val="28"/>
                <w:szCs w:val="28"/>
              </w:rPr>
              <w:t>Job Overview</w:t>
            </w:r>
          </w:p>
          <w:p w14:paraId="241DA1CC" w14:textId="31778133" w:rsidR="006F45C2" w:rsidRPr="009F0EE8" w:rsidRDefault="00486DE6" w:rsidP="009F0EE8">
            <w:pPr>
              <w:jc w:val="both"/>
              <w:rPr>
                <w:sz w:val="24"/>
                <w:szCs w:val="24"/>
              </w:rPr>
            </w:pPr>
            <w:r w:rsidRPr="009F0EE8">
              <w:rPr>
                <w:rFonts w:ascii="Calibri" w:eastAsia="Calibri" w:hAnsi="Calibri" w:cs="Calibri"/>
                <w:color w:val="262626"/>
                <w:sz w:val="24"/>
                <w:szCs w:val="24"/>
              </w:rPr>
              <w:t>The Court Liaison is a coordination and communication role</w:t>
            </w:r>
            <w:r w:rsidR="009F0EE8">
              <w:rPr>
                <w:rFonts w:ascii="Calibri" w:eastAsia="Calibri" w:hAnsi="Calibri" w:cs="Calibri"/>
                <w:color w:val="262626"/>
                <w:sz w:val="24"/>
                <w:szCs w:val="24"/>
              </w:rPr>
              <w:t xml:space="preserve">; </w:t>
            </w:r>
            <w:r w:rsidRPr="009F0EE8">
              <w:rPr>
                <w:rFonts w:ascii="Calibri" w:eastAsia="Calibri" w:hAnsi="Calibri" w:cs="Calibri"/>
                <w:color w:val="262626"/>
                <w:sz w:val="24"/>
                <w:szCs w:val="24"/>
              </w:rPr>
              <w:t>not a therapist, caseworker, or attorney. Think of the Liaison as the connective tissue between the courthouse, the jail, and behavioral health providers: someone who makes sure the right information reaches the right person at the right time so cases involving mental health needs move through the system fairly and efficien</w:t>
            </w:r>
            <w:r w:rsidRPr="009F0EE8">
              <w:rPr>
                <w:rFonts w:ascii="Calibri" w:eastAsia="Calibri" w:hAnsi="Calibri" w:cs="Calibri"/>
                <w:color w:val="262626"/>
                <w:sz w:val="24"/>
                <w:szCs w:val="24"/>
              </w:rPr>
              <w:t>tly. The Liaison does not provide counseling, treatment, or legal representation, and does not make legal or clinical decisions.</w:t>
            </w:r>
          </w:p>
        </w:tc>
      </w:tr>
    </w:tbl>
    <w:p w14:paraId="449DB399" w14:textId="77777777" w:rsidR="006F45C2" w:rsidRDefault="006F45C2">
      <w:pPr>
        <w:spacing w:after="200"/>
      </w:pPr>
    </w:p>
    <w:p w14:paraId="70FFCDE5" w14:textId="77777777" w:rsidR="006F45C2" w:rsidRPr="009F0EE8" w:rsidRDefault="00486DE6">
      <w:pPr>
        <w:pStyle w:val="Heading1"/>
        <w:pBdr>
          <w:bottom w:val="single" w:sz="6" w:space="4" w:color="B08D57"/>
        </w:pBdr>
        <w:spacing w:before="360" w:after="160"/>
        <w:rPr>
          <w:sz w:val="36"/>
          <w:szCs w:val="36"/>
        </w:rPr>
      </w:pPr>
      <w:r w:rsidRPr="009F0EE8">
        <w:rPr>
          <w:rFonts w:ascii="Calibri" w:eastAsia="Calibri" w:hAnsi="Calibri" w:cs="Calibri"/>
          <w:b/>
          <w:bCs/>
          <w:color w:val="1F3864"/>
          <w:sz w:val="28"/>
          <w:szCs w:val="28"/>
        </w:rPr>
        <w:t>Position Summary</w:t>
      </w:r>
    </w:p>
    <w:p w14:paraId="208AB7D0" w14:textId="77777777" w:rsidR="006F45C2" w:rsidRPr="009F0EE8" w:rsidRDefault="00486DE6" w:rsidP="009F0EE8">
      <w:pPr>
        <w:spacing w:after="160"/>
        <w:jc w:val="both"/>
        <w:rPr>
          <w:sz w:val="24"/>
          <w:szCs w:val="24"/>
        </w:rPr>
      </w:pPr>
      <w:r w:rsidRPr="009F0EE8">
        <w:rPr>
          <w:rFonts w:ascii="Calibri" w:eastAsia="Calibri" w:hAnsi="Calibri" w:cs="Calibri"/>
          <w:color w:val="262626"/>
          <w:sz w:val="24"/>
          <w:szCs w:val="24"/>
        </w:rPr>
        <w:t>The Court Liaison is a system-level, non-clinical position that improves how courts, jails, behavioral health authorities, attorneys, probation, pretrial services, law enforcement, and community partners work together on cases involving people with mental health needs. The Liaison identifies inefficiencies, improves the flow of information, and helps ensure judg</w:t>
      </w:r>
      <w:r w:rsidRPr="009F0EE8">
        <w:rPr>
          <w:rFonts w:ascii="Calibri" w:eastAsia="Calibri" w:hAnsi="Calibri" w:cs="Calibri"/>
          <w:color w:val="262626"/>
          <w:sz w:val="24"/>
          <w:szCs w:val="24"/>
        </w:rPr>
        <w:t>es and other decision-makers have timely, accurate information.</w:t>
      </w:r>
    </w:p>
    <w:p w14:paraId="04BA7684" w14:textId="77777777" w:rsidR="006F45C2" w:rsidRDefault="00486DE6" w:rsidP="009F0EE8">
      <w:pPr>
        <w:spacing w:after="160"/>
        <w:jc w:val="both"/>
        <w:rPr>
          <w:rFonts w:ascii="Calibri" w:eastAsia="Calibri" w:hAnsi="Calibri" w:cs="Calibri"/>
          <w:color w:val="262626"/>
          <w:sz w:val="24"/>
          <w:szCs w:val="24"/>
        </w:rPr>
      </w:pPr>
      <w:r w:rsidRPr="009F0EE8">
        <w:rPr>
          <w:rFonts w:ascii="Calibri" w:eastAsia="Calibri" w:hAnsi="Calibri" w:cs="Calibri"/>
          <w:color w:val="262626"/>
          <w:sz w:val="24"/>
          <w:szCs w:val="24"/>
        </w:rPr>
        <w:t>The Court Liaison operates under judicial oversight, in partnership with a local advisory committee, to reduce delays, improve continuity of care, and strengthen how the local justice and behavioral health systems function together. This is a coordination and process-improvement role, not a direct service or clinical position.</w:t>
      </w:r>
    </w:p>
    <w:p w14:paraId="6105E862" w14:textId="77777777" w:rsidR="00924392" w:rsidRPr="009F0EE8" w:rsidRDefault="00924392" w:rsidP="009F0EE8">
      <w:pPr>
        <w:spacing w:after="160"/>
        <w:jc w:val="both"/>
        <w:rPr>
          <w:sz w:val="24"/>
          <w:szCs w:val="24"/>
        </w:rPr>
      </w:pPr>
    </w:p>
    <w:p w14:paraId="0061522A" w14:textId="77777777" w:rsidR="006F45C2" w:rsidRPr="009F0EE8" w:rsidRDefault="00486DE6">
      <w:pPr>
        <w:pStyle w:val="Heading1"/>
        <w:pBdr>
          <w:bottom w:val="single" w:sz="6" w:space="4" w:color="B08D57"/>
        </w:pBdr>
        <w:spacing w:before="360" w:after="160"/>
        <w:rPr>
          <w:sz w:val="36"/>
          <w:szCs w:val="36"/>
        </w:rPr>
      </w:pPr>
      <w:r w:rsidRPr="009F0EE8">
        <w:rPr>
          <w:rFonts w:ascii="Calibri" w:eastAsia="Calibri" w:hAnsi="Calibri" w:cs="Calibri"/>
          <w:b/>
          <w:bCs/>
          <w:color w:val="1F3864"/>
          <w:sz w:val="28"/>
          <w:szCs w:val="28"/>
        </w:rPr>
        <w:t>Key Terms to Know</w:t>
      </w:r>
    </w:p>
    <w:p w14:paraId="3099CF2E" w14:textId="53B0CF63" w:rsidR="006F45C2" w:rsidRPr="009F0EE8" w:rsidRDefault="00486DE6" w:rsidP="009F0EE8">
      <w:pPr>
        <w:spacing w:after="160"/>
        <w:jc w:val="both"/>
        <w:rPr>
          <w:sz w:val="24"/>
          <w:szCs w:val="24"/>
        </w:rPr>
      </w:pPr>
      <w:r w:rsidRPr="009F0EE8">
        <w:rPr>
          <w:rFonts w:ascii="Calibri" w:eastAsia="Calibri" w:hAnsi="Calibri" w:cs="Calibri"/>
          <w:color w:val="262626"/>
          <w:sz w:val="24"/>
          <w:szCs w:val="24"/>
        </w:rPr>
        <w:t>This role involves specialized court and behavioral health terminology. No prior legal training is r</w:t>
      </w:r>
      <w:r w:rsidRPr="009F0EE8">
        <w:rPr>
          <w:rFonts w:ascii="Calibri" w:eastAsia="Calibri" w:hAnsi="Calibri" w:cs="Calibri"/>
          <w:color w:val="262626"/>
          <w:sz w:val="24"/>
          <w:szCs w:val="24"/>
        </w:rPr>
        <w:t>equired to apply— the terms below are the ones used most often in this job description and in the daily work of the position.</w:t>
      </w:r>
    </w:p>
    <w:tbl>
      <w:tblPr>
        <w:tblStyle w:val="PlainTable1"/>
        <w:tblW w:w="9360" w:type="dxa"/>
        <w:tblLook w:val="0000" w:firstRow="0" w:lastRow="0" w:firstColumn="0" w:lastColumn="0" w:noHBand="0" w:noVBand="0"/>
      </w:tblPr>
      <w:tblGrid>
        <w:gridCol w:w="2570"/>
        <w:gridCol w:w="6790"/>
      </w:tblGrid>
      <w:tr w:rsidR="006F45C2" w:rsidRPr="009F0EE8" w14:paraId="4EBFDFE1" w14:textId="77777777" w:rsidTr="00F571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70" w:type="dxa"/>
          </w:tcPr>
          <w:p w14:paraId="17ADDADA" w14:textId="77777777" w:rsidR="006F45C2" w:rsidRPr="009F0EE8" w:rsidRDefault="00486DE6">
            <w:pPr>
              <w:rPr>
                <w:sz w:val="22"/>
                <w:szCs w:val="22"/>
              </w:rPr>
            </w:pPr>
            <w:r w:rsidRPr="009F0EE8">
              <w:rPr>
                <w:rFonts w:ascii="Calibri" w:eastAsia="Calibri" w:hAnsi="Calibri" w:cs="Calibri"/>
                <w:b/>
                <w:bCs/>
                <w:color w:val="1F3864"/>
                <w:sz w:val="22"/>
                <w:szCs w:val="22"/>
              </w:rPr>
              <w:t>Article 16.22</w:t>
            </w:r>
          </w:p>
        </w:tc>
        <w:tc>
          <w:tcPr>
            <w:tcW w:w="6790" w:type="dxa"/>
          </w:tcPr>
          <w:p w14:paraId="03B19578" w14:textId="77777777" w:rsidR="006F45C2" w:rsidRPr="009F0EE8" w:rsidRDefault="00486DE6">
            <w:pPr>
              <w:cnfStyle w:val="000000100000" w:firstRow="0" w:lastRow="0" w:firstColumn="0" w:lastColumn="0" w:oddVBand="0" w:evenVBand="0" w:oddHBand="1" w:evenHBand="0" w:firstRowFirstColumn="0" w:firstRowLastColumn="0" w:lastRowFirstColumn="0" w:lastRowLastColumn="0"/>
              <w:rPr>
                <w:sz w:val="22"/>
                <w:szCs w:val="22"/>
              </w:rPr>
            </w:pPr>
            <w:r w:rsidRPr="009F0EE8">
              <w:rPr>
                <w:rFonts w:ascii="Calibri" w:eastAsia="Calibri" w:hAnsi="Calibri" w:cs="Calibri"/>
                <w:color w:val="262626"/>
                <w:sz w:val="22"/>
                <w:szCs w:val="22"/>
              </w:rPr>
              <w:t>A section of the Texas Code of Criminal Procedure that requires early screening of people booked into jail for possible mental illness or intellectual/developmental disability, so courts can make informed decisions early in a case.</w:t>
            </w:r>
          </w:p>
        </w:tc>
      </w:tr>
      <w:tr w:rsidR="00A849F9" w:rsidRPr="009F0EE8" w14:paraId="102531ED" w14:textId="77777777" w:rsidTr="00F57121">
        <w:tc>
          <w:tcPr>
            <w:cnfStyle w:val="000010000000" w:firstRow="0" w:lastRow="0" w:firstColumn="0" w:lastColumn="0" w:oddVBand="1" w:evenVBand="0" w:oddHBand="0" w:evenHBand="0" w:firstRowFirstColumn="0" w:firstRowLastColumn="0" w:lastRowFirstColumn="0" w:lastRowLastColumn="0"/>
            <w:tcW w:w="2570" w:type="dxa"/>
            <w:shd w:val="clear" w:color="auto" w:fill="auto"/>
          </w:tcPr>
          <w:p w14:paraId="1F43B26B" w14:textId="3D75349E" w:rsidR="00A849F9" w:rsidRPr="009F0EE8" w:rsidRDefault="00A849F9">
            <w:pPr>
              <w:rPr>
                <w:rFonts w:ascii="Calibri" w:eastAsia="Calibri" w:hAnsi="Calibri" w:cs="Calibri"/>
                <w:b/>
                <w:bCs/>
                <w:color w:val="1F3864"/>
                <w:sz w:val="22"/>
                <w:szCs w:val="22"/>
              </w:rPr>
            </w:pPr>
            <w:r>
              <w:rPr>
                <w:rFonts w:ascii="Calibri" w:eastAsia="Calibri" w:hAnsi="Calibri" w:cs="Calibri"/>
                <w:b/>
                <w:bCs/>
                <w:color w:val="1F3864"/>
                <w:sz w:val="22"/>
                <w:szCs w:val="22"/>
              </w:rPr>
              <w:t>Behavioral Health</w:t>
            </w:r>
          </w:p>
        </w:tc>
        <w:tc>
          <w:tcPr>
            <w:tcW w:w="6790" w:type="dxa"/>
          </w:tcPr>
          <w:p w14:paraId="03207B42" w14:textId="4D681807" w:rsidR="00A849F9" w:rsidRPr="009F0EE8" w:rsidRDefault="00924392">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62626"/>
                <w:sz w:val="22"/>
                <w:szCs w:val="22"/>
              </w:rPr>
            </w:pPr>
            <w:r>
              <w:rPr>
                <w:rFonts w:ascii="Calibri" w:eastAsia="Calibri" w:hAnsi="Calibri" w:cs="Calibri"/>
                <w:color w:val="262626"/>
                <w:sz w:val="22"/>
                <w:szCs w:val="22"/>
              </w:rPr>
              <w:t xml:space="preserve">The term typically used when referring to mental health and substance use </w:t>
            </w:r>
            <w:r w:rsidR="00B9345F">
              <w:rPr>
                <w:rFonts w:ascii="Calibri" w:eastAsia="Calibri" w:hAnsi="Calibri" w:cs="Calibri"/>
                <w:color w:val="262626"/>
                <w:sz w:val="22"/>
                <w:szCs w:val="22"/>
              </w:rPr>
              <w:t>services</w:t>
            </w:r>
            <w:r>
              <w:rPr>
                <w:rFonts w:ascii="Calibri" w:eastAsia="Calibri" w:hAnsi="Calibri" w:cs="Calibri"/>
                <w:color w:val="262626"/>
                <w:sz w:val="22"/>
                <w:szCs w:val="22"/>
              </w:rPr>
              <w:t xml:space="preserve">. </w:t>
            </w:r>
          </w:p>
        </w:tc>
      </w:tr>
      <w:tr w:rsidR="00F154E8" w:rsidRPr="009F0EE8" w14:paraId="193969A5" w14:textId="77777777" w:rsidTr="00F571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70" w:type="dxa"/>
          </w:tcPr>
          <w:p w14:paraId="214283ED" w14:textId="2EC06F79" w:rsidR="00F154E8" w:rsidRDefault="00F154E8" w:rsidP="00F154E8">
            <w:pPr>
              <w:rPr>
                <w:rFonts w:ascii="Calibri" w:eastAsia="Calibri" w:hAnsi="Calibri" w:cs="Calibri"/>
                <w:b/>
                <w:bCs/>
                <w:color w:val="1F3864"/>
                <w:sz w:val="22"/>
                <w:szCs w:val="22"/>
              </w:rPr>
            </w:pPr>
            <w:r w:rsidRPr="009F0EE8">
              <w:rPr>
                <w:rFonts w:ascii="Calibri" w:eastAsia="Calibri" w:hAnsi="Calibri" w:cs="Calibri"/>
                <w:b/>
                <w:bCs/>
                <w:color w:val="1F3864"/>
                <w:sz w:val="22"/>
                <w:szCs w:val="22"/>
              </w:rPr>
              <w:t xml:space="preserve">Civil </w:t>
            </w:r>
            <w:r w:rsidR="00F57121">
              <w:rPr>
                <w:rFonts w:ascii="Calibri" w:eastAsia="Calibri" w:hAnsi="Calibri" w:cs="Calibri"/>
                <w:b/>
                <w:bCs/>
                <w:color w:val="1F3864"/>
                <w:sz w:val="22"/>
                <w:szCs w:val="22"/>
              </w:rPr>
              <w:t>C</w:t>
            </w:r>
            <w:r w:rsidRPr="009F0EE8">
              <w:rPr>
                <w:rFonts w:ascii="Calibri" w:eastAsia="Calibri" w:hAnsi="Calibri" w:cs="Calibri"/>
                <w:b/>
                <w:bCs/>
                <w:color w:val="1F3864"/>
                <w:sz w:val="22"/>
                <w:szCs w:val="22"/>
              </w:rPr>
              <w:t>ommitment</w:t>
            </w:r>
          </w:p>
        </w:tc>
        <w:tc>
          <w:tcPr>
            <w:tcW w:w="6790" w:type="dxa"/>
          </w:tcPr>
          <w:p w14:paraId="0FCBD1B9" w14:textId="404DBBC5" w:rsidR="00F154E8" w:rsidRDefault="00F154E8" w:rsidP="00F154E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262626"/>
                <w:sz w:val="22"/>
                <w:szCs w:val="22"/>
              </w:rPr>
            </w:pPr>
            <w:r w:rsidRPr="009F0EE8">
              <w:rPr>
                <w:rFonts w:ascii="Calibri" w:eastAsia="Calibri" w:hAnsi="Calibri" w:cs="Calibri"/>
                <w:color w:val="262626"/>
                <w:sz w:val="22"/>
                <w:szCs w:val="22"/>
              </w:rPr>
              <w:t>A court-ordered process, separate from a criminal case, that may require a person to receive mental health treatment.</w:t>
            </w:r>
          </w:p>
        </w:tc>
      </w:tr>
      <w:tr w:rsidR="00F154E8" w:rsidRPr="009F0EE8" w14:paraId="493676BC" w14:textId="77777777" w:rsidTr="00F57121">
        <w:tc>
          <w:tcPr>
            <w:cnfStyle w:val="000010000000" w:firstRow="0" w:lastRow="0" w:firstColumn="0" w:lastColumn="0" w:oddVBand="1" w:evenVBand="0" w:oddHBand="0" w:evenHBand="0" w:firstRowFirstColumn="0" w:firstRowLastColumn="0" w:lastRowFirstColumn="0" w:lastRowLastColumn="0"/>
            <w:tcW w:w="2570" w:type="dxa"/>
            <w:shd w:val="clear" w:color="auto" w:fill="auto"/>
          </w:tcPr>
          <w:p w14:paraId="31FC98ED" w14:textId="7B54D7D6" w:rsidR="00F154E8" w:rsidRPr="009F0EE8" w:rsidRDefault="00F154E8" w:rsidP="00F154E8">
            <w:pPr>
              <w:rPr>
                <w:sz w:val="22"/>
                <w:szCs w:val="22"/>
              </w:rPr>
            </w:pPr>
            <w:r w:rsidRPr="009F0EE8">
              <w:rPr>
                <w:rFonts w:ascii="Calibri" w:eastAsia="Calibri" w:hAnsi="Calibri" w:cs="Calibri"/>
                <w:b/>
                <w:bCs/>
                <w:color w:val="1F3864"/>
                <w:sz w:val="22"/>
                <w:szCs w:val="22"/>
              </w:rPr>
              <w:t xml:space="preserve">Competency </w:t>
            </w:r>
            <w:r w:rsidR="00F57121">
              <w:rPr>
                <w:rFonts w:ascii="Calibri" w:eastAsia="Calibri" w:hAnsi="Calibri" w:cs="Calibri"/>
                <w:b/>
                <w:bCs/>
                <w:color w:val="1F3864"/>
                <w:sz w:val="22"/>
                <w:szCs w:val="22"/>
              </w:rPr>
              <w:t>R</w:t>
            </w:r>
            <w:r w:rsidRPr="009F0EE8">
              <w:rPr>
                <w:rFonts w:ascii="Calibri" w:eastAsia="Calibri" w:hAnsi="Calibri" w:cs="Calibri"/>
                <w:b/>
                <w:bCs/>
                <w:color w:val="1F3864"/>
                <w:sz w:val="22"/>
                <w:szCs w:val="22"/>
              </w:rPr>
              <w:t>estoration</w:t>
            </w:r>
          </w:p>
        </w:tc>
        <w:tc>
          <w:tcPr>
            <w:tcW w:w="6790" w:type="dxa"/>
          </w:tcPr>
          <w:p w14:paraId="42837BF0" w14:textId="23F1FE0D" w:rsidR="00F154E8" w:rsidRPr="009F0EE8" w:rsidRDefault="00F154E8" w:rsidP="00F154E8">
            <w:pPr>
              <w:cnfStyle w:val="000000000000" w:firstRow="0" w:lastRow="0" w:firstColumn="0" w:lastColumn="0" w:oddVBand="0" w:evenVBand="0" w:oddHBand="0" w:evenHBand="0" w:firstRowFirstColumn="0" w:firstRowLastColumn="0" w:lastRowFirstColumn="0" w:lastRowLastColumn="0"/>
              <w:rPr>
                <w:sz w:val="22"/>
                <w:szCs w:val="22"/>
              </w:rPr>
            </w:pPr>
            <w:r w:rsidRPr="009F0EE8">
              <w:rPr>
                <w:rFonts w:ascii="Calibri" w:eastAsia="Calibri" w:hAnsi="Calibri" w:cs="Calibri"/>
                <w:color w:val="262626"/>
                <w:sz w:val="22"/>
                <w:szCs w:val="22"/>
              </w:rPr>
              <w:t>A legal process to help a defendant who is not currently able to understand the court process or assist their attorney regain the ability to do so—through treatment in jail, an outpatient program, or a state hospital—so their case can move forward.</w:t>
            </w:r>
          </w:p>
        </w:tc>
      </w:tr>
      <w:tr w:rsidR="00F154E8" w:rsidRPr="009F0EE8" w14:paraId="45420552" w14:textId="77777777" w:rsidTr="00F571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70" w:type="dxa"/>
          </w:tcPr>
          <w:p w14:paraId="35211CC3" w14:textId="45DC0CB5" w:rsidR="00F154E8" w:rsidRPr="009F0EE8" w:rsidRDefault="00F154E8" w:rsidP="00F154E8">
            <w:pPr>
              <w:rPr>
                <w:rFonts w:ascii="Calibri" w:eastAsia="Calibri" w:hAnsi="Calibri" w:cs="Calibri"/>
                <w:b/>
                <w:bCs/>
                <w:color w:val="1F3864"/>
                <w:sz w:val="22"/>
                <w:szCs w:val="22"/>
              </w:rPr>
            </w:pPr>
            <w:r w:rsidRPr="009F0EE8">
              <w:rPr>
                <w:rFonts w:ascii="Calibri" w:eastAsia="Calibri" w:hAnsi="Calibri" w:cs="Calibri"/>
                <w:b/>
                <w:bCs/>
                <w:color w:val="1F3864"/>
                <w:sz w:val="22"/>
                <w:szCs w:val="22"/>
              </w:rPr>
              <w:t>Diversion</w:t>
            </w:r>
          </w:p>
        </w:tc>
        <w:tc>
          <w:tcPr>
            <w:tcW w:w="6790" w:type="dxa"/>
          </w:tcPr>
          <w:p w14:paraId="525941E6" w14:textId="25E044D0" w:rsidR="00F154E8" w:rsidRPr="009F0EE8" w:rsidRDefault="00F154E8" w:rsidP="00F154E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262626"/>
                <w:sz w:val="22"/>
                <w:szCs w:val="22"/>
              </w:rPr>
            </w:pPr>
            <w:r w:rsidRPr="009F0EE8">
              <w:rPr>
                <w:rFonts w:ascii="Calibri" w:eastAsia="Calibri" w:hAnsi="Calibri" w:cs="Calibri"/>
                <w:color w:val="262626"/>
                <w:sz w:val="22"/>
                <w:szCs w:val="22"/>
              </w:rPr>
              <w:t>Programs or options that redirect an eligible person away from standard prosecution or incarceration and toward treatment or community-based alternatives.</w:t>
            </w:r>
          </w:p>
        </w:tc>
      </w:tr>
      <w:tr w:rsidR="00FF14E8" w:rsidRPr="009F0EE8" w14:paraId="516D2D97" w14:textId="77777777" w:rsidTr="00F57121">
        <w:tc>
          <w:tcPr>
            <w:cnfStyle w:val="000010000000" w:firstRow="0" w:lastRow="0" w:firstColumn="0" w:lastColumn="0" w:oddVBand="1" w:evenVBand="0" w:oddHBand="0" w:evenHBand="0" w:firstRowFirstColumn="0" w:firstRowLastColumn="0" w:lastRowFirstColumn="0" w:lastRowLastColumn="0"/>
            <w:tcW w:w="2570" w:type="dxa"/>
            <w:shd w:val="clear" w:color="auto" w:fill="auto"/>
          </w:tcPr>
          <w:p w14:paraId="5F9AC91E" w14:textId="3B603BF8" w:rsidR="00FF14E8" w:rsidRPr="009F0EE8" w:rsidRDefault="00FF14E8" w:rsidP="00FF14E8">
            <w:pPr>
              <w:rPr>
                <w:rFonts w:ascii="Calibri" w:eastAsia="Calibri" w:hAnsi="Calibri" w:cs="Calibri"/>
                <w:b/>
                <w:bCs/>
                <w:color w:val="1F3864"/>
                <w:sz w:val="22"/>
                <w:szCs w:val="22"/>
              </w:rPr>
            </w:pPr>
            <w:r w:rsidRPr="009F0EE8">
              <w:rPr>
                <w:rFonts w:ascii="Calibri" w:eastAsia="Calibri" w:hAnsi="Calibri" w:cs="Calibri"/>
                <w:b/>
                <w:bCs/>
                <w:color w:val="1F3864"/>
                <w:sz w:val="22"/>
                <w:szCs w:val="22"/>
              </w:rPr>
              <w:t>JCMH / TIEMH</w:t>
            </w:r>
          </w:p>
        </w:tc>
        <w:tc>
          <w:tcPr>
            <w:tcW w:w="6790" w:type="dxa"/>
          </w:tcPr>
          <w:p w14:paraId="50225D96" w14:textId="75E962BF" w:rsidR="00FF14E8" w:rsidRPr="009F0EE8" w:rsidRDefault="00FF14E8" w:rsidP="00FF14E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62626"/>
                <w:sz w:val="22"/>
                <w:szCs w:val="22"/>
              </w:rPr>
            </w:pPr>
            <w:r w:rsidRPr="009F0EE8">
              <w:rPr>
                <w:rFonts w:ascii="Calibri" w:eastAsia="Calibri" w:hAnsi="Calibri" w:cs="Calibri"/>
                <w:color w:val="262626"/>
                <w:sz w:val="22"/>
                <w:szCs w:val="22"/>
              </w:rPr>
              <w:t>The Judicial Commission on Mental Health and the Texas Institute for Excellence in Mental Health—the state partners that oversee this pilot program and its data reporting.</w:t>
            </w:r>
          </w:p>
        </w:tc>
      </w:tr>
      <w:tr w:rsidR="00FF14E8" w:rsidRPr="009F0EE8" w14:paraId="19115A99" w14:textId="77777777" w:rsidTr="00F571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70" w:type="dxa"/>
          </w:tcPr>
          <w:p w14:paraId="4975EE40" w14:textId="77777777" w:rsidR="00FF14E8" w:rsidRPr="009F0EE8" w:rsidRDefault="00FF14E8" w:rsidP="00FF14E8">
            <w:pPr>
              <w:rPr>
                <w:sz w:val="22"/>
                <w:szCs w:val="22"/>
              </w:rPr>
            </w:pPr>
            <w:r w:rsidRPr="009F0EE8">
              <w:rPr>
                <w:rFonts w:ascii="Calibri" w:eastAsia="Calibri" w:hAnsi="Calibri" w:cs="Calibri"/>
                <w:b/>
                <w:bCs/>
                <w:color w:val="1F3864"/>
                <w:sz w:val="22"/>
                <w:szCs w:val="22"/>
              </w:rPr>
              <w:t>LMHA / LBHA</w:t>
            </w:r>
          </w:p>
        </w:tc>
        <w:tc>
          <w:tcPr>
            <w:tcW w:w="6790" w:type="dxa"/>
          </w:tcPr>
          <w:p w14:paraId="4C41F2ED" w14:textId="3CE333C9" w:rsidR="00FF14E8" w:rsidRPr="009F0EE8" w:rsidRDefault="00FF14E8" w:rsidP="00FF14E8">
            <w:pPr>
              <w:cnfStyle w:val="000000100000" w:firstRow="0" w:lastRow="0" w:firstColumn="0" w:lastColumn="0" w:oddVBand="0" w:evenVBand="0" w:oddHBand="1" w:evenHBand="0" w:firstRowFirstColumn="0" w:firstRowLastColumn="0" w:lastRowFirstColumn="0" w:lastRowLastColumn="0"/>
              <w:rPr>
                <w:sz w:val="22"/>
                <w:szCs w:val="22"/>
              </w:rPr>
            </w:pPr>
            <w:r w:rsidRPr="009F0EE8">
              <w:rPr>
                <w:rFonts w:ascii="Calibri" w:eastAsia="Calibri" w:hAnsi="Calibri" w:cs="Calibri"/>
                <w:color w:val="262626"/>
                <w:sz w:val="22"/>
                <w:szCs w:val="22"/>
              </w:rPr>
              <w:t>Local Mental Health Authority / Local Behavioral Health Authority - the public agency responsible for coordinating mental health and behavioral health services in a local area.</w:t>
            </w:r>
          </w:p>
        </w:tc>
      </w:tr>
      <w:tr w:rsidR="00FF14E8" w:rsidRPr="009F0EE8" w14:paraId="13C125C8" w14:textId="77777777" w:rsidTr="00F57121">
        <w:tc>
          <w:tcPr>
            <w:cnfStyle w:val="000010000000" w:firstRow="0" w:lastRow="0" w:firstColumn="0" w:lastColumn="0" w:oddVBand="1" w:evenVBand="0" w:oddHBand="0" w:evenHBand="0" w:firstRowFirstColumn="0" w:firstRowLastColumn="0" w:lastRowFirstColumn="0" w:lastRowLastColumn="0"/>
            <w:tcW w:w="2570" w:type="dxa"/>
            <w:shd w:val="clear" w:color="auto" w:fill="auto"/>
          </w:tcPr>
          <w:p w14:paraId="49CD53A8" w14:textId="77777777" w:rsidR="00FF14E8" w:rsidRPr="009F0EE8" w:rsidRDefault="00FF14E8" w:rsidP="00FF14E8">
            <w:pPr>
              <w:rPr>
                <w:sz w:val="22"/>
                <w:szCs w:val="22"/>
              </w:rPr>
            </w:pPr>
            <w:r w:rsidRPr="009F0EE8">
              <w:rPr>
                <w:rFonts w:ascii="Calibri" w:eastAsia="Calibri" w:hAnsi="Calibri" w:cs="Calibri"/>
                <w:b/>
                <w:bCs/>
                <w:color w:val="1F3864"/>
                <w:sz w:val="22"/>
                <w:szCs w:val="22"/>
              </w:rPr>
              <w:t>LIDDA</w:t>
            </w:r>
          </w:p>
        </w:tc>
        <w:tc>
          <w:tcPr>
            <w:tcW w:w="6790" w:type="dxa"/>
          </w:tcPr>
          <w:p w14:paraId="650F3716" w14:textId="26C4A9DA" w:rsidR="00FF14E8" w:rsidRPr="009F0EE8" w:rsidRDefault="00FF14E8" w:rsidP="00FF14E8">
            <w:pPr>
              <w:cnfStyle w:val="000000000000" w:firstRow="0" w:lastRow="0" w:firstColumn="0" w:lastColumn="0" w:oddVBand="0" w:evenVBand="0" w:oddHBand="0" w:evenHBand="0" w:firstRowFirstColumn="0" w:firstRowLastColumn="0" w:lastRowFirstColumn="0" w:lastRowLastColumn="0"/>
              <w:rPr>
                <w:sz w:val="22"/>
                <w:szCs w:val="22"/>
              </w:rPr>
            </w:pPr>
            <w:r w:rsidRPr="009F0EE8">
              <w:rPr>
                <w:rFonts w:ascii="Calibri" w:eastAsia="Calibri" w:hAnsi="Calibri" w:cs="Calibri"/>
                <w:color w:val="262626"/>
                <w:sz w:val="22"/>
                <w:szCs w:val="22"/>
              </w:rPr>
              <w:t>Local Intellectual and Developmental Disability Authority - the public agency responsible for coordinating services for people with intellectual or developmental disabilities.</w:t>
            </w:r>
          </w:p>
        </w:tc>
      </w:tr>
      <w:tr w:rsidR="00FF14E8" w:rsidRPr="009F0EE8" w14:paraId="185ECEBC" w14:textId="77777777" w:rsidTr="00F571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70" w:type="dxa"/>
          </w:tcPr>
          <w:p w14:paraId="56A1DA1A" w14:textId="0B6B5D4E" w:rsidR="00FF14E8" w:rsidRPr="009F0EE8" w:rsidRDefault="00FF14E8" w:rsidP="00FF14E8">
            <w:pPr>
              <w:rPr>
                <w:sz w:val="22"/>
                <w:szCs w:val="22"/>
              </w:rPr>
            </w:pPr>
            <w:r w:rsidRPr="009F0EE8">
              <w:rPr>
                <w:rFonts w:ascii="Calibri" w:eastAsia="Calibri" w:hAnsi="Calibri" w:cs="Calibri"/>
                <w:b/>
                <w:bCs/>
                <w:color w:val="1F3864"/>
                <w:sz w:val="22"/>
                <w:szCs w:val="22"/>
              </w:rPr>
              <w:t xml:space="preserve">Pretrial </w:t>
            </w:r>
            <w:r w:rsidR="00F57121">
              <w:rPr>
                <w:rFonts w:ascii="Calibri" w:eastAsia="Calibri" w:hAnsi="Calibri" w:cs="Calibri"/>
                <w:b/>
                <w:bCs/>
                <w:color w:val="1F3864"/>
                <w:sz w:val="22"/>
                <w:szCs w:val="22"/>
              </w:rPr>
              <w:t>S</w:t>
            </w:r>
            <w:r w:rsidRPr="009F0EE8">
              <w:rPr>
                <w:rFonts w:ascii="Calibri" w:eastAsia="Calibri" w:hAnsi="Calibri" w:cs="Calibri"/>
                <w:b/>
                <w:bCs/>
                <w:color w:val="1F3864"/>
                <w:sz w:val="22"/>
                <w:szCs w:val="22"/>
              </w:rPr>
              <w:t>ervices</w:t>
            </w:r>
          </w:p>
        </w:tc>
        <w:tc>
          <w:tcPr>
            <w:tcW w:w="6790" w:type="dxa"/>
          </w:tcPr>
          <w:p w14:paraId="1A390418" w14:textId="5CFD5155" w:rsidR="00FF14E8" w:rsidRPr="009F0EE8" w:rsidRDefault="00FF14E8" w:rsidP="00FF14E8">
            <w:pPr>
              <w:cnfStyle w:val="000000100000" w:firstRow="0" w:lastRow="0" w:firstColumn="0" w:lastColumn="0" w:oddVBand="0" w:evenVBand="0" w:oddHBand="1" w:evenHBand="0" w:firstRowFirstColumn="0" w:firstRowLastColumn="0" w:lastRowFirstColumn="0" w:lastRowLastColumn="0"/>
              <w:rPr>
                <w:sz w:val="22"/>
                <w:szCs w:val="22"/>
              </w:rPr>
            </w:pPr>
            <w:r>
              <w:rPr>
                <w:rFonts w:ascii="Calibri" w:eastAsia="Calibri" w:hAnsi="Calibri" w:cs="Calibri"/>
                <w:color w:val="262626"/>
                <w:sz w:val="22"/>
                <w:szCs w:val="22"/>
              </w:rPr>
              <w:t xml:space="preserve">Supervision </w:t>
            </w:r>
            <w:r w:rsidRPr="009F0EE8">
              <w:rPr>
                <w:rFonts w:ascii="Calibri" w:eastAsia="Calibri" w:hAnsi="Calibri" w:cs="Calibri"/>
                <w:color w:val="262626"/>
                <w:sz w:val="22"/>
                <w:szCs w:val="22"/>
              </w:rPr>
              <w:t>and support</w:t>
            </w:r>
            <w:r>
              <w:rPr>
                <w:rFonts w:ascii="Calibri" w:eastAsia="Calibri" w:hAnsi="Calibri" w:cs="Calibri"/>
                <w:color w:val="262626"/>
                <w:sz w:val="22"/>
                <w:szCs w:val="22"/>
              </w:rPr>
              <w:t xml:space="preserve"> for</w:t>
            </w:r>
            <w:r w:rsidRPr="009F0EE8">
              <w:rPr>
                <w:rFonts w:ascii="Calibri" w:eastAsia="Calibri" w:hAnsi="Calibri" w:cs="Calibri"/>
                <w:color w:val="262626"/>
                <w:sz w:val="22"/>
                <w:szCs w:val="22"/>
              </w:rPr>
              <w:t xml:space="preserve"> defendants who have been released while their case is pending.</w:t>
            </w:r>
            <w:r>
              <w:rPr>
                <w:rFonts w:ascii="Calibri" w:eastAsia="Calibri" w:hAnsi="Calibri" w:cs="Calibri"/>
                <w:color w:val="262626"/>
                <w:sz w:val="22"/>
                <w:szCs w:val="22"/>
              </w:rPr>
              <w:t xml:space="preserve"> This term may refer to a specific county office or to the services provided by someone.</w:t>
            </w:r>
          </w:p>
        </w:tc>
      </w:tr>
    </w:tbl>
    <w:p w14:paraId="7A268B1A" w14:textId="77777777" w:rsidR="006F45C2" w:rsidRDefault="006F45C2" w:rsidP="009F0EE8">
      <w:pPr>
        <w:spacing w:after="200"/>
      </w:pPr>
    </w:p>
    <w:p w14:paraId="33B34F25" w14:textId="77777777" w:rsidR="006F45C2" w:rsidRPr="009F0EE8" w:rsidRDefault="00486DE6" w:rsidP="009F0EE8">
      <w:pPr>
        <w:pStyle w:val="Heading1"/>
        <w:pBdr>
          <w:bottom w:val="single" w:sz="6" w:space="4" w:color="B08D57"/>
        </w:pBdr>
        <w:spacing w:before="360" w:after="160"/>
        <w:rPr>
          <w:sz w:val="36"/>
          <w:szCs w:val="36"/>
        </w:rPr>
      </w:pPr>
      <w:r w:rsidRPr="009F0EE8">
        <w:rPr>
          <w:rFonts w:ascii="Calibri" w:eastAsia="Calibri" w:hAnsi="Calibri" w:cs="Calibri"/>
          <w:b/>
          <w:bCs/>
          <w:color w:val="1F3864"/>
          <w:sz w:val="28"/>
          <w:szCs w:val="28"/>
        </w:rPr>
        <w:t>Reporting Structure &amp; Oversight</w:t>
      </w:r>
    </w:p>
    <w:p w14:paraId="00F00B19" w14:textId="77777777" w:rsidR="006F45C2" w:rsidRPr="009F0EE8" w:rsidRDefault="00486DE6" w:rsidP="009F0EE8">
      <w:pPr>
        <w:pStyle w:val="ListParagraph"/>
        <w:numPr>
          <w:ilvl w:val="0"/>
          <w:numId w:val="2"/>
        </w:numPr>
        <w:spacing w:after="90"/>
        <w:jc w:val="both"/>
        <w:rPr>
          <w:sz w:val="24"/>
          <w:szCs w:val="24"/>
        </w:rPr>
      </w:pPr>
      <w:r w:rsidRPr="009F0EE8">
        <w:rPr>
          <w:rFonts w:ascii="Calibri" w:eastAsia="Calibri" w:hAnsi="Calibri" w:cs="Calibri"/>
          <w:color w:val="262626"/>
          <w:sz w:val="24"/>
          <w:szCs w:val="24"/>
        </w:rPr>
        <w:t>Employed by or housed within [County/Office/Department].</w:t>
      </w:r>
    </w:p>
    <w:p w14:paraId="13E66A98" w14:textId="77777777" w:rsidR="006F45C2" w:rsidRPr="009F0EE8" w:rsidRDefault="00486DE6" w:rsidP="009F0EE8">
      <w:pPr>
        <w:pStyle w:val="ListParagraph"/>
        <w:numPr>
          <w:ilvl w:val="0"/>
          <w:numId w:val="2"/>
        </w:numPr>
        <w:spacing w:after="90"/>
        <w:jc w:val="both"/>
        <w:rPr>
          <w:sz w:val="24"/>
          <w:szCs w:val="24"/>
        </w:rPr>
      </w:pPr>
      <w:r w:rsidRPr="009F0EE8">
        <w:rPr>
          <w:rFonts w:ascii="Calibri" w:eastAsia="Calibri" w:hAnsi="Calibri" w:cs="Calibri"/>
          <w:color w:val="262626"/>
          <w:sz w:val="24"/>
          <w:szCs w:val="24"/>
        </w:rPr>
        <w:t>Works under the oversight of the designated lead judge for the pilot program.</w:t>
      </w:r>
    </w:p>
    <w:p w14:paraId="0993F8A7" w14:textId="77777777" w:rsidR="006F45C2" w:rsidRPr="009F0EE8" w:rsidRDefault="00486DE6" w:rsidP="009F0EE8">
      <w:pPr>
        <w:pStyle w:val="ListParagraph"/>
        <w:numPr>
          <w:ilvl w:val="0"/>
          <w:numId w:val="2"/>
        </w:numPr>
        <w:spacing w:after="90"/>
        <w:jc w:val="both"/>
        <w:rPr>
          <w:sz w:val="24"/>
          <w:szCs w:val="24"/>
        </w:rPr>
      </w:pPr>
      <w:r w:rsidRPr="009F0EE8">
        <w:rPr>
          <w:rFonts w:ascii="Calibri" w:eastAsia="Calibri" w:hAnsi="Calibri" w:cs="Calibri"/>
          <w:color w:val="262626"/>
          <w:sz w:val="24"/>
          <w:szCs w:val="24"/>
        </w:rPr>
        <w:t xml:space="preserve">Supported by a local advisory committee that meets at least quarterly, </w:t>
      </w:r>
      <w:r w:rsidRPr="009F0EE8">
        <w:rPr>
          <w:rFonts w:ascii="Calibri" w:eastAsia="Calibri" w:hAnsi="Calibri" w:cs="Calibri"/>
          <w:color w:val="262626"/>
          <w:sz w:val="24"/>
          <w:szCs w:val="24"/>
        </w:rPr>
        <w:t>convened by the lead judge.</w:t>
      </w:r>
    </w:p>
    <w:p w14:paraId="0CB6DCD3" w14:textId="77777777" w:rsidR="006F45C2" w:rsidRPr="00924392" w:rsidRDefault="00486DE6" w:rsidP="009F0EE8">
      <w:pPr>
        <w:pStyle w:val="ListParagraph"/>
        <w:numPr>
          <w:ilvl w:val="0"/>
          <w:numId w:val="2"/>
        </w:numPr>
        <w:spacing w:after="90"/>
        <w:jc w:val="both"/>
        <w:rPr>
          <w:sz w:val="24"/>
          <w:szCs w:val="24"/>
        </w:rPr>
      </w:pPr>
      <w:r w:rsidRPr="009F0EE8">
        <w:rPr>
          <w:rFonts w:ascii="Calibri" w:eastAsia="Calibri" w:hAnsi="Calibri" w:cs="Calibri"/>
          <w:color w:val="262626"/>
          <w:sz w:val="24"/>
          <w:szCs w:val="24"/>
        </w:rPr>
        <w:t>The advisory committee includes, at minimum, judicial leadership and the LMHA/LBHA, and typically also includes the jail, prosecutors, defense counsel, pretrial services, probation, reentry providers, hospital or crisis providers, and other community stakeholders.</w:t>
      </w:r>
    </w:p>
    <w:p w14:paraId="0FD44129" w14:textId="77777777" w:rsidR="00924392" w:rsidRPr="009F0EE8" w:rsidRDefault="00924392" w:rsidP="00924392">
      <w:pPr>
        <w:pStyle w:val="ListParagraph"/>
        <w:spacing w:after="90"/>
        <w:ind w:left="403"/>
        <w:jc w:val="both"/>
        <w:rPr>
          <w:sz w:val="24"/>
          <w:szCs w:val="24"/>
        </w:rPr>
      </w:pPr>
    </w:p>
    <w:p w14:paraId="5E4244AF" w14:textId="77777777" w:rsidR="006F45C2" w:rsidRPr="009F0EE8" w:rsidRDefault="00486DE6" w:rsidP="009F0EE8">
      <w:pPr>
        <w:pStyle w:val="Heading1"/>
        <w:pBdr>
          <w:bottom w:val="single" w:sz="6" w:space="4" w:color="B08D57"/>
        </w:pBdr>
        <w:spacing w:before="360" w:after="160"/>
        <w:rPr>
          <w:sz w:val="36"/>
          <w:szCs w:val="36"/>
        </w:rPr>
      </w:pPr>
      <w:r w:rsidRPr="009F0EE8">
        <w:rPr>
          <w:rFonts w:ascii="Calibri" w:eastAsia="Calibri" w:hAnsi="Calibri" w:cs="Calibri"/>
          <w:b/>
          <w:bCs/>
          <w:color w:val="1F3864"/>
          <w:sz w:val="28"/>
          <w:szCs w:val="28"/>
        </w:rPr>
        <w:t>Access to Information</w:t>
      </w:r>
    </w:p>
    <w:p w14:paraId="2F51CE58" w14:textId="617597DC" w:rsidR="006F45C2" w:rsidRPr="009F0EE8" w:rsidRDefault="00486DE6" w:rsidP="00924392">
      <w:pPr>
        <w:spacing w:after="120"/>
        <w:jc w:val="both"/>
        <w:rPr>
          <w:sz w:val="22"/>
          <w:szCs w:val="22"/>
        </w:rPr>
      </w:pPr>
      <w:r w:rsidRPr="009F0EE8">
        <w:rPr>
          <w:rFonts w:ascii="Calibri" w:eastAsia="Calibri" w:hAnsi="Calibri" w:cs="Calibri"/>
          <w:color w:val="262626"/>
          <w:sz w:val="24"/>
          <w:szCs w:val="24"/>
        </w:rPr>
        <w:t xml:space="preserve">To do this job, the Liaison needs to see relevant records across agencies. Consistent with Texas Health and Safety Code </w:t>
      </w:r>
      <w:r w:rsidR="00D45F40" w:rsidRPr="009F0EE8">
        <w:rPr>
          <w:rFonts w:ascii="Calibri" w:eastAsia="Calibri" w:hAnsi="Calibri" w:cs="Calibri"/>
          <w:color w:val="262626"/>
          <w:sz w:val="24"/>
          <w:szCs w:val="24"/>
        </w:rPr>
        <w:t xml:space="preserve">Ch. 611, § </w:t>
      </w:r>
      <w:r w:rsidRPr="009F0EE8">
        <w:rPr>
          <w:rFonts w:ascii="Calibri" w:eastAsia="Calibri" w:hAnsi="Calibri" w:cs="Calibri"/>
          <w:color w:val="262626"/>
          <w:sz w:val="24"/>
          <w:szCs w:val="24"/>
        </w:rPr>
        <w:t>614.017</w:t>
      </w:r>
      <w:r w:rsidR="00D45F40" w:rsidRPr="009F0EE8">
        <w:rPr>
          <w:rFonts w:ascii="Calibri" w:eastAsia="Calibri" w:hAnsi="Calibri" w:cs="Calibri"/>
          <w:color w:val="262626"/>
          <w:sz w:val="24"/>
          <w:szCs w:val="24"/>
        </w:rPr>
        <w:t>,</w:t>
      </w:r>
      <w:r w:rsidRPr="009F0EE8">
        <w:rPr>
          <w:rFonts w:ascii="Calibri" w:eastAsia="Calibri" w:hAnsi="Calibri" w:cs="Calibri"/>
          <w:color w:val="262626"/>
          <w:sz w:val="24"/>
          <w:szCs w:val="24"/>
        </w:rPr>
        <w:t xml:space="preserve"> and other applicable law, the Court Liaison will have ap</w:t>
      </w:r>
      <w:r w:rsidRPr="009F0EE8">
        <w:rPr>
          <w:rFonts w:ascii="Calibri" w:eastAsia="Calibri" w:hAnsi="Calibri" w:cs="Calibri"/>
          <w:color w:val="262626"/>
          <w:sz w:val="24"/>
          <w:szCs w:val="24"/>
        </w:rPr>
        <w:t>propriate access to:</w:t>
      </w:r>
    </w:p>
    <w:p w14:paraId="7065E32D" w14:textId="72F3CB45" w:rsidR="006F45C2" w:rsidRPr="009F0EE8" w:rsidRDefault="00486DE6" w:rsidP="009F0EE8">
      <w:pPr>
        <w:pStyle w:val="ListParagraph"/>
        <w:numPr>
          <w:ilvl w:val="0"/>
          <w:numId w:val="2"/>
        </w:numPr>
        <w:spacing w:after="90"/>
        <w:jc w:val="both"/>
        <w:rPr>
          <w:sz w:val="22"/>
          <w:szCs w:val="22"/>
        </w:rPr>
      </w:pPr>
      <w:r w:rsidRPr="009F0EE8">
        <w:rPr>
          <w:rFonts w:ascii="Calibri" w:eastAsia="Calibri" w:hAnsi="Calibri" w:cs="Calibri"/>
          <w:color w:val="262626"/>
          <w:sz w:val="24"/>
          <w:szCs w:val="24"/>
        </w:rPr>
        <w:t>Relevant court records and case files</w:t>
      </w:r>
      <w:r w:rsidR="007B1D01">
        <w:rPr>
          <w:rFonts w:ascii="Calibri" w:eastAsia="Calibri" w:hAnsi="Calibri" w:cs="Calibri"/>
          <w:color w:val="262626"/>
          <w:sz w:val="24"/>
          <w:szCs w:val="24"/>
        </w:rPr>
        <w:t>.</w:t>
      </w:r>
    </w:p>
    <w:p w14:paraId="0FC9340E" w14:textId="7D453466" w:rsidR="006F45C2" w:rsidRPr="009F0EE8" w:rsidRDefault="00486DE6" w:rsidP="009F0EE8">
      <w:pPr>
        <w:pStyle w:val="ListParagraph"/>
        <w:numPr>
          <w:ilvl w:val="0"/>
          <w:numId w:val="2"/>
        </w:numPr>
        <w:spacing w:after="90"/>
        <w:jc w:val="both"/>
        <w:rPr>
          <w:sz w:val="22"/>
          <w:szCs w:val="22"/>
        </w:rPr>
      </w:pPr>
      <w:r w:rsidRPr="009F0EE8">
        <w:rPr>
          <w:rFonts w:ascii="Calibri" w:eastAsia="Calibri" w:hAnsi="Calibri" w:cs="Calibri"/>
          <w:color w:val="262626"/>
          <w:sz w:val="24"/>
          <w:szCs w:val="24"/>
        </w:rPr>
        <w:t>Jail records</w:t>
      </w:r>
      <w:r w:rsidR="005C0D94">
        <w:rPr>
          <w:rFonts w:ascii="Calibri" w:eastAsia="Calibri" w:hAnsi="Calibri" w:cs="Calibri"/>
          <w:color w:val="262626"/>
          <w:sz w:val="24"/>
          <w:szCs w:val="24"/>
        </w:rPr>
        <w:t xml:space="preserve">, including CCQ </w:t>
      </w:r>
      <w:r w:rsidR="00211031">
        <w:rPr>
          <w:rFonts w:ascii="Calibri" w:eastAsia="Calibri" w:hAnsi="Calibri" w:cs="Calibri"/>
          <w:color w:val="262626"/>
          <w:sz w:val="24"/>
          <w:szCs w:val="24"/>
        </w:rPr>
        <w:t xml:space="preserve">(continuity </w:t>
      </w:r>
      <w:r w:rsidR="00C12AA7">
        <w:rPr>
          <w:rFonts w:ascii="Calibri" w:eastAsia="Calibri" w:hAnsi="Calibri" w:cs="Calibri"/>
          <w:color w:val="262626"/>
          <w:sz w:val="24"/>
          <w:szCs w:val="24"/>
        </w:rPr>
        <w:t>of care qu</w:t>
      </w:r>
      <w:r w:rsidR="00CF5F83">
        <w:rPr>
          <w:rFonts w:ascii="Calibri" w:eastAsia="Calibri" w:hAnsi="Calibri" w:cs="Calibri"/>
          <w:color w:val="262626"/>
          <w:sz w:val="24"/>
          <w:szCs w:val="24"/>
        </w:rPr>
        <w:t xml:space="preserve">ery) </w:t>
      </w:r>
      <w:r w:rsidR="00492424">
        <w:rPr>
          <w:rFonts w:ascii="Calibri" w:eastAsia="Calibri" w:hAnsi="Calibri" w:cs="Calibri"/>
          <w:color w:val="262626"/>
          <w:sz w:val="24"/>
          <w:szCs w:val="24"/>
        </w:rPr>
        <w:t>reports.</w:t>
      </w:r>
    </w:p>
    <w:p w14:paraId="34DEB68F" w14:textId="7C740065" w:rsidR="006F45C2" w:rsidRPr="009F0EE8" w:rsidRDefault="00486DE6" w:rsidP="009F0EE8">
      <w:pPr>
        <w:pStyle w:val="ListParagraph"/>
        <w:numPr>
          <w:ilvl w:val="0"/>
          <w:numId w:val="2"/>
        </w:numPr>
        <w:spacing w:after="90"/>
        <w:jc w:val="both"/>
        <w:rPr>
          <w:sz w:val="22"/>
          <w:szCs w:val="22"/>
        </w:rPr>
      </w:pPr>
      <w:r w:rsidRPr="009F0EE8">
        <w:rPr>
          <w:rFonts w:ascii="Calibri" w:eastAsia="Calibri" w:hAnsi="Calibri" w:cs="Calibri"/>
          <w:color w:val="262626"/>
          <w:sz w:val="24"/>
          <w:szCs w:val="24"/>
        </w:rPr>
        <w:t>Article 16.22 screening reports</w:t>
      </w:r>
      <w:r w:rsidR="00492424">
        <w:rPr>
          <w:rFonts w:ascii="Calibri" w:eastAsia="Calibri" w:hAnsi="Calibri" w:cs="Calibri"/>
          <w:color w:val="262626"/>
          <w:sz w:val="24"/>
          <w:szCs w:val="24"/>
        </w:rPr>
        <w:t>.</w:t>
      </w:r>
    </w:p>
    <w:p w14:paraId="5F0E4BA3" w14:textId="336A4168" w:rsidR="006F45C2" w:rsidRPr="009F0EE8" w:rsidRDefault="00486DE6" w:rsidP="009F0EE8">
      <w:pPr>
        <w:pStyle w:val="ListParagraph"/>
        <w:numPr>
          <w:ilvl w:val="0"/>
          <w:numId w:val="2"/>
        </w:numPr>
        <w:spacing w:after="90"/>
        <w:jc w:val="both"/>
        <w:rPr>
          <w:sz w:val="22"/>
          <w:szCs w:val="22"/>
        </w:rPr>
      </w:pPr>
      <w:r w:rsidRPr="009F0EE8">
        <w:rPr>
          <w:rFonts w:ascii="Calibri" w:eastAsia="Calibri" w:hAnsi="Calibri" w:cs="Calibri"/>
          <w:color w:val="262626"/>
          <w:sz w:val="24"/>
          <w:szCs w:val="24"/>
        </w:rPr>
        <w:t>LMHA/LBHA/LIDDA information, as permitted by law and necessary for coordination, case tracking, and system improvement</w:t>
      </w:r>
      <w:r w:rsidR="00492424">
        <w:rPr>
          <w:rFonts w:ascii="Calibri" w:eastAsia="Calibri" w:hAnsi="Calibri" w:cs="Calibri"/>
          <w:color w:val="262626"/>
          <w:sz w:val="24"/>
          <w:szCs w:val="24"/>
        </w:rPr>
        <w:t>.</w:t>
      </w:r>
    </w:p>
    <w:p w14:paraId="75109EE1" w14:textId="77777777" w:rsidR="00924392" w:rsidRDefault="00924392">
      <w:pPr>
        <w:rPr>
          <w:rFonts w:ascii="Calibri" w:eastAsia="Calibri" w:hAnsi="Calibri" w:cs="Calibri"/>
          <w:b/>
          <w:bCs/>
          <w:color w:val="1F3864"/>
          <w:sz w:val="28"/>
          <w:szCs w:val="28"/>
        </w:rPr>
      </w:pPr>
      <w:r>
        <w:rPr>
          <w:rFonts w:ascii="Calibri" w:eastAsia="Calibri" w:hAnsi="Calibri" w:cs="Calibri"/>
          <w:b/>
          <w:bCs/>
          <w:color w:val="1F3864"/>
          <w:sz w:val="28"/>
          <w:szCs w:val="28"/>
        </w:rPr>
        <w:br w:type="page"/>
      </w:r>
    </w:p>
    <w:p w14:paraId="42789531" w14:textId="4C4102AE" w:rsidR="006F45C2" w:rsidRPr="0017120C" w:rsidRDefault="00486DE6" w:rsidP="009F0EE8">
      <w:pPr>
        <w:pStyle w:val="Heading1"/>
        <w:pBdr>
          <w:bottom w:val="single" w:sz="6" w:space="4" w:color="B08D57"/>
        </w:pBdr>
        <w:spacing w:before="360" w:after="160"/>
        <w:rPr>
          <w:sz w:val="36"/>
          <w:szCs w:val="36"/>
        </w:rPr>
      </w:pPr>
      <w:r w:rsidRPr="0017120C">
        <w:rPr>
          <w:rFonts w:ascii="Calibri" w:eastAsia="Calibri" w:hAnsi="Calibri" w:cs="Calibri"/>
          <w:b/>
          <w:bCs/>
          <w:color w:val="1F3864"/>
          <w:sz w:val="28"/>
          <w:szCs w:val="28"/>
        </w:rPr>
        <w:t>Essential Job Functions</w:t>
      </w:r>
    </w:p>
    <w:p w14:paraId="27003EA3" w14:textId="0FAE5FD1" w:rsidR="006F45C2" w:rsidRPr="0017120C" w:rsidRDefault="00486DE6" w:rsidP="009F0EE8">
      <w:pPr>
        <w:pStyle w:val="Heading2"/>
        <w:spacing w:before="260" w:after="120"/>
      </w:pPr>
      <w:r w:rsidRPr="0017120C">
        <w:rPr>
          <w:rFonts w:ascii="Calibri" w:eastAsia="Calibri" w:hAnsi="Calibri" w:cs="Calibri"/>
          <w:b/>
          <w:bCs/>
          <w:color w:val="1F3864"/>
        </w:rPr>
        <w:t xml:space="preserve">1. </w:t>
      </w:r>
      <w:r w:rsidR="00A849F9">
        <w:rPr>
          <w:rFonts w:ascii="Calibri" w:eastAsia="Calibri" w:hAnsi="Calibri" w:cs="Calibri"/>
          <w:b/>
          <w:bCs/>
          <w:color w:val="1F3864"/>
        </w:rPr>
        <w:t>Stakeholder</w:t>
      </w:r>
      <w:r w:rsidR="00C25C07">
        <w:rPr>
          <w:rFonts w:ascii="Calibri" w:eastAsia="Calibri" w:hAnsi="Calibri" w:cs="Calibri"/>
          <w:b/>
          <w:bCs/>
          <w:color w:val="1F3864"/>
        </w:rPr>
        <w:t xml:space="preserve"> Connections,</w:t>
      </w:r>
      <w:r w:rsidRPr="0017120C">
        <w:rPr>
          <w:rFonts w:ascii="Calibri" w:eastAsia="Calibri" w:hAnsi="Calibri" w:cs="Calibri"/>
          <w:b/>
          <w:bCs/>
          <w:color w:val="1F3864"/>
        </w:rPr>
        <w:t xml:space="preserve"> Coordination</w:t>
      </w:r>
      <w:r w:rsidR="00C25C07">
        <w:rPr>
          <w:rFonts w:ascii="Calibri" w:eastAsia="Calibri" w:hAnsi="Calibri" w:cs="Calibri"/>
          <w:b/>
          <w:bCs/>
          <w:color w:val="1F3864"/>
        </w:rPr>
        <w:t>,</w:t>
      </w:r>
      <w:r w:rsidRPr="0017120C">
        <w:rPr>
          <w:rFonts w:ascii="Calibri" w:eastAsia="Calibri" w:hAnsi="Calibri" w:cs="Calibri"/>
          <w:b/>
          <w:bCs/>
          <w:color w:val="1F3864"/>
        </w:rPr>
        <w:t xml:space="preserve"> &amp; Communication</w:t>
      </w:r>
    </w:p>
    <w:p w14:paraId="4F6FB1C8" w14:textId="77777777" w:rsidR="006F45C2" w:rsidRPr="009F0EE8" w:rsidRDefault="00486DE6" w:rsidP="009F0EE8">
      <w:pPr>
        <w:spacing w:after="160"/>
        <w:jc w:val="both"/>
        <w:rPr>
          <w:sz w:val="24"/>
          <w:szCs w:val="24"/>
        </w:rPr>
      </w:pPr>
      <w:r w:rsidRPr="009F0EE8">
        <w:rPr>
          <w:rFonts w:ascii="Calibri" w:eastAsia="Calibri" w:hAnsi="Calibri" w:cs="Calibri"/>
          <w:i/>
          <w:iCs/>
          <w:color w:val="595959"/>
          <w:sz w:val="24"/>
          <w:szCs w:val="24"/>
        </w:rPr>
        <w:t>Being the connector across agencies that don't always talk to each other.</w:t>
      </w:r>
    </w:p>
    <w:p w14:paraId="0B0412D6"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Serve as a single point of contact to improve communication among courts, jai</w:t>
      </w:r>
      <w:r w:rsidRPr="009F0EE8">
        <w:rPr>
          <w:rFonts w:ascii="Calibri" w:eastAsia="Calibri" w:hAnsi="Calibri" w:cs="Calibri"/>
          <w:color w:val="262626"/>
          <w:sz w:val="24"/>
          <w:szCs w:val="24"/>
        </w:rPr>
        <w:t>ls, LMHA/LBHAs, LIDDAs, prosecutors, defense counsel, pretrial services, probation, reentry providers, law enforcement, hospitals, crisis providers, and other community partners.</w:t>
      </w:r>
    </w:p>
    <w:p w14:paraId="365352AA"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Build and maintain professional, collaborative relationships with justice, behavioral health, and community stakeholders.</w:t>
      </w:r>
    </w:p>
    <w:p w14:paraId="35972311"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Facilitate communication across agencies to support timelier case processing and reduce unnecessary delays.</w:t>
      </w:r>
    </w:p>
    <w:p w14:paraId="02291ED1" w14:textId="4FA2BE0E"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Help partners understand</w:t>
      </w:r>
      <w:r w:rsidR="003B652A">
        <w:rPr>
          <w:rFonts w:ascii="Calibri" w:eastAsia="Calibri" w:hAnsi="Calibri" w:cs="Calibri"/>
          <w:color w:val="262626"/>
          <w:sz w:val="24"/>
          <w:szCs w:val="24"/>
        </w:rPr>
        <w:t>, and provide education on,</w:t>
      </w:r>
      <w:r w:rsidRPr="009F0EE8">
        <w:rPr>
          <w:rFonts w:ascii="Calibri" w:eastAsia="Calibri" w:hAnsi="Calibri" w:cs="Calibri"/>
          <w:color w:val="262626"/>
          <w:sz w:val="24"/>
          <w:szCs w:val="24"/>
        </w:rPr>
        <w:t xml:space="preserve"> available local resources—treatment options, divers</w:t>
      </w:r>
      <w:r w:rsidRPr="009F0EE8">
        <w:rPr>
          <w:rFonts w:ascii="Calibri" w:eastAsia="Calibri" w:hAnsi="Calibri" w:cs="Calibri"/>
          <w:color w:val="262626"/>
          <w:sz w:val="24"/>
          <w:szCs w:val="24"/>
        </w:rPr>
        <w:t>ion opportunities, competency restoration options, civil commitment processes, reentry supports, and other alternatives, when appropriate.</w:t>
      </w:r>
    </w:p>
    <w:p w14:paraId="7E8FF105"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Coordinate the local advisory committee: schedule meetings, prepare materials, document decisions, and track follow-up items.</w:t>
      </w:r>
    </w:p>
    <w:p w14:paraId="445AA374" w14:textId="77777777" w:rsidR="00B10B68" w:rsidRPr="009F0EE8" w:rsidRDefault="00B10B68" w:rsidP="00B10B68">
      <w:pPr>
        <w:pStyle w:val="ListParagraph"/>
        <w:numPr>
          <w:ilvl w:val="0"/>
          <w:numId w:val="2"/>
        </w:numPr>
        <w:spacing w:after="120"/>
        <w:rPr>
          <w:sz w:val="24"/>
          <w:szCs w:val="24"/>
        </w:rPr>
      </w:pPr>
      <w:r w:rsidRPr="009F0EE8">
        <w:rPr>
          <w:rFonts w:ascii="Calibri" w:eastAsia="Calibri" w:hAnsi="Calibri" w:cs="Calibri"/>
          <w:color w:val="262626"/>
          <w:sz w:val="24"/>
          <w:szCs w:val="24"/>
        </w:rPr>
        <w:t>Support coordination among courts, attorneys, jails, LMHA/LBHAs, hospitals, and other providers while individuals are awaiting evaluation, restoration, transfer, release, or connection to services.</w:t>
      </w:r>
    </w:p>
    <w:p w14:paraId="731E3664"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Communicate changes in local legal, behavioral he</w:t>
      </w:r>
      <w:r w:rsidRPr="009F0EE8">
        <w:rPr>
          <w:rFonts w:ascii="Calibri" w:eastAsia="Calibri" w:hAnsi="Calibri" w:cs="Calibri"/>
          <w:color w:val="262626"/>
          <w:sz w:val="24"/>
          <w:szCs w:val="24"/>
        </w:rPr>
        <w:t>alth, or system processes to relevant stakeholders, including updates related to Article 16.22, competency restoration, waitlists, diversion, and reentry.</w:t>
      </w:r>
    </w:p>
    <w:p w14:paraId="6919888C" w14:textId="7E1E69F1" w:rsidR="006F45C2" w:rsidRPr="0017120C" w:rsidRDefault="00486DE6" w:rsidP="009F0EE8">
      <w:pPr>
        <w:pStyle w:val="Heading2"/>
        <w:spacing w:before="260" w:after="120"/>
      </w:pPr>
      <w:r w:rsidRPr="0017120C">
        <w:rPr>
          <w:rFonts w:ascii="Calibri" w:eastAsia="Calibri" w:hAnsi="Calibri" w:cs="Calibri"/>
          <w:b/>
          <w:bCs/>
          <w:color w:val="1F3864"/>
        </w:rPr>
        <w:t xml:space="preserve">2. </w:t>
      </w:r>
      <w:r w:rsidR="00C25C07">
        <w:rPr>
          <w:rFonts w:ascii="Calibri" w:eastAsia="Calibri" w:hAnsi="Calibri" w:cs="Calibri"/>
          <w:b/>
          <w:bCs/>
          <w:color w:val="1F3864"/>
        </w:rPr>
        <w:t>System Improvement</w:t>
      </w:r>
      <w:r w:rsidR="00A849F9">
        <w:rPr>
          <w:rFonts w:ascii="Calibri" w:eastAsia="Calibri" w:hAnsi="Calibri" w:cs="Calibri"/>
          <w:b/>
          <w:bCs/>
          <w:color w:val="1F3864"/>
        </w:rPr>
        <w:t xml:space="preserve"> &amp; Case Flows</w:t>
      </w:r>
    </w:p>
    <w:p w14:paraId="13984432" w14:textId="32D87FE7" w:rsidR="006F45C2" w:rsidRPr="009F0EE8" w:rsidRDefault="00C25C07" w:rsidP="009F0EE8">
      <w:pPr>
        <w:spacing w:after="160"/>
        <w:rPr>
          <w:sz w:val="24"/>
          <w:szCs w:val="24"/>
        </w:rPr>
      </w:pPr>
      <w:r w:rsidRPr="009F0EE8">
        <w:rPr>
          <w:rFonts w:ascii="Calibri" w:eastAsia="Calibri" w:hAnsi="Calibri" w:cs="Calibri"/>
          <w:i/>
          <w:iCs/>
          <w:color w:val="595959"/>
          <w:sz w:val="24"/>
          <w:szCs w:val="24"/>
        </w:rPr>
        <w:t>Looking beyond individual cases to fix the process itself.</w:t>
      </w:r>
      <w:r w:rsidR="00924392" w:rsidRPr="00924392">
        <w:rPr>
          <w:rFonts w:ascii="Calibri" w:eastAsia="Calibri" w:hAnsi="Calibri" w:cs="Calibri"/>
          <w:i/>
          <w:iCs/>
          <w:color w:val="595959"/>
          <w:sz w:val="24"/>
          <w:szCs w:val="24"/>
        </w:rPr>
        <w:t xml:space="preserve"> </w:t>
      </w:r>
      <w:r w:rsidR="00924392" w:rsidRPr="009F0EE8">
        <w:rPr>
          <w:rFonts w:ascii="Calibri" w:eastAsia="Calibri" w:hAnsi="Calibri" w:cs="Calibri"/>
          <w:i/>
          <w:iCs/>
          <w:color w:val="595959"/>
          <w:sz w:val="24"/>
          <w:szCs w:val="24"/>
        </w:rPr>
        <w:t xml:space="preserve">Helping </w:t>
      </w:r>
      <w:r w:rsidR="00924392">
        <w:rPr>
          <w:rFonts w:ascii="Calibri" w:eastAsia="Calibri" w:hAnsi="Calibri" w:cs="Calibri"/>
          <w:i/>
          <w:iCs/>
          <w:color w:val="595959"/>
          <w:sz w:val="24"/>
          <w:szCs w:val="24"/>
        </w:rPr>
        <w:t xml:space="preserve">the flow of </w:t>
      </w:r>
      <w:r w:rsidR="00924392" w:rsidRPr="009F0EE8">
        <w:rPr>
          <w:rFonts w:ascii="Calibri" w:eastAsia="Calibri" w:hAnsi="Calibri" w:cs="Calibri"/>
          <w:i/>
          <w:iCs/>
          <w:color w:val="595959"/>
          <w:sz w:val="24"/>
          <w:szCs w:val="24"/>
        </w:rPr>
        <w:t xml:space="preserve">cases move </w:t>
      </w:r>
      <w:r w:rsidR="00924392">
        <w:rPr>
          <w:rFonts w:ascii="Calibri" w:eastAsia="Calibri" w:hAnsi="Calibri" w:cs="Calibri"/>
          <w:i/>
          <w:iCs/>
          <w:color w:val="595959"/>
          <w:sz w:val="24"/>
          <w:szCs w:val="24"/>
        </w:rPr>
        <w:t>through the system</w:t>
      </w:r>
      <w:r w:rsidR="00924392" w:rsidRPr="009F0EE8">
        <w:rPr>
          <w:rFonts w:ascii="Calibri" w:eastAsia="Calibri" w:hAnsi="Calibri" w:cs="Calibri"/>
          <w:i/>
          <w:iCs/>
          <w:color w:val="595959"/>
          <w:sz w:val="24"/>
          <w:szCs w:val="24"/>
        </w:rPr>
        <w:t xml:space="preserve"> without unnecessary delay.</w:t>
      </w:r>
    </w:p>
    <w:p w14:paraId="537CE3C4" w14:textId="5E2A6190"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Support courts in meeting statutory requirements, including early identification and competency restoration processes.</w:t>
      </w:r>
    </w:p>
    <w:p w14:paraId="793AB97B"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Provide judges with timely, relevant, and actionable information to</w:t>
      </w:r>
      <w:r w:rsidRPr="009F0EE8">
        <w:rPr>
          <w:rFonts w:ascii="Calibri" w:eastAsia="Calibri" w:hAnsi="Calibri" w:cs="Calibri"/>
          <w:color w:val="262626"/>
          <w:sz w:val="24"/>
          <w:szCs w:val="24"/>
        </w:rPr>
        <w:t xml:space="preserve"> support case management and decision-making.</w:t>
      </w:r>
    </w:p>
    <w:p w14:paraId="5CEA975F"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Identify delays in behavioral health-related cases and work with partners on strategies to reduce them.</w:t>
      </w:r>
    </w:p>
    <w:p w14:paraId="130E3BC9" w14:textId="77777777" w:rsidR="00C25C07" w:rsidRPr="009F0EE8" w:rsidRDefault="00C25C07" w:rsidP="00C25C07">
      <w:pPr>
        <w:pStyle w:val="ListParagraph"/>
        <w:numPr>
          <w:ilvl w:val="0"/>
          <w:numId w:val="2"/>
        </w:numPr>
        <w:spacing w:after="120"/>
        <w:rPr>
          <w:sz w:val="24"/>
          <w:szCs w:val="24"/>
        </w:rPr>
      </w:pPr>
      <w:r w:rsidRPr="009F0EE8">
        <w:rPr>
          <w:rFonts w:ascii="Calibri" w:eastAsia="Calibri" w:hAnsi="Calibri" w:cs="Calibri"/>
          <w:color w:val="262626"/>
          <w:sz w:val="24"/>
          <w:szCs w:val="24"/>
        </w:rPr>
        <w:t>Identify, document, and communicate system-level improvements that reduce duplication, improve efficiency, and strengthen outcomes.</w:t>
      </w:r>
    </w:p>
    <w:p w14:paraId="24183E0D" w14:textId="77777777" w:rsidR="00C25C07" w:rsidRPr="009F0EE8" w:rsidRDefault="00C25C07" w:rsidP="00C25C07">
      <w:pPr>
        <w:pStyle w:val="ListParagraph"/>
        <w:numPr>
          <w:ilvl w:val="0"/>
          <w:numId w:val="2"/>
        </w:numPr>
        <w:spacing w:after="120"/>
        <w:rPr>
          <w:sz w:val="24"/>
          <w:szCs w:val="24"/>
        </w:rPr>
      </w:pPr>
      <w:r w:rsidRPr="009F0EE8">
        <w:rPr>
          <w:rFonts w:ascii="Calibri" w:eastAsia="Calibri" w:hAnsi="Calibri" w:cs="Calibri"/>
          <w:color w:val="262626"/>
          <w:sz w:val="24"/>
          <w:szCs w:val="24"/>
        </w:rPr>
        <w:t>Help map how individuals with mental health needs move through the local justice system.</w:t>
      </w:r>
    </w:p>
    <w:p w14:paraId="51113CC2" w14:textId="77777777" w:rsidR="00C25C07" w:rsidRPr="009F0EE8" w:rsidRDefault="00C25C07" w:rsidP="00C25C07">
      <w:pPr>
        <w:pStyle w:val="ListParagraph"/>
        <w:numPr>
          <w:ilvl w:val="0"/>
          <w:numId w:val="2"/>
        </w:numPr>
        <w:spacing w:after="120"/>
        <w:rPr>
          <w:sz w:val="24"/>
          <w:szCs w:val="24"/>
        </w:rPr>
      </w:pPr>
      <w:r w:rsidRPr="009F0EE8">
        <w:rPr>
          <w:rFonts w:ascii="Calibri" w:eastAsia="Calibri" w:hAnsi="Calibri" w:cs="Calibri"/>
          <w:color w:val="262626"/>
          <w:sz w:val="24"/>
          <w:szCs w:val="24"/>
        </w:rPr>
        <w:t>Identify gaps, barriers, and points of delay in local case processing and service connection.</w:t>
      </w:r>
    </w:p>
    <w:p w14:paraId="1D54B59F" w14:textId="0817FD68" w:rsidR="00C25C07" w:rsidRPr="009F0EE8" w:rsidRDefault="00C25C07" w:rsidP="00C25C07">
      <w:pPr>
        <w:pStyle w:val="ListParagraph"/>
        <w:numPr>
          <w:ilvl w:val="0"/>
          <w:numId w:val="2"/>
        </w:numPr>
        <w:spacing w:after="120"/>
        <w:rPr>
          <w:sz w:val="24"/>
          <w:szCs w:val="24"/>
        </w:rPr>
      </w:pPr>
      <w:r w:rsidRPr="009F0EE8">
        <w:rPr>
          <w:rFonts w:ascii="Calibri" w:eastAsia="Calibri" w:hAnsi="Calibri" w:cs="Calibri"/>
          <w:color w:val="262626"/>
          <w:sz w:val="24"/>
          <w:szCs w:val="24"/>
        </w:rPr>
        <w:t>Work with stakeholders to develop and implement strategies that improve coordination, reduce delays, and support continuity of care.</w:t>
      </w:r>
    </w:p>
    <w:p w14:paraId="55C851C1" w14:textId="77777777" w:rsidR="00C25C07" w:rsidRPr="009F0EE8" w:rsidRDefault="00C25C07" w:rsidP="00C25C07">
      <w:pPr>
        <w:pStyle w:val="ListParagraph"/>
        <w:numPr>
          <w:ilvl w:val="0"/>
          <w:numId w:val="2"/>
        </w:numPr>
        <w:spacing w:after="120"/>
        <w:rPr>
          <w:sz w:val="24"/>
          <w:szCs w:val="24"/>
        </w:rPr>
      </w:pPr>
      <w:r w:rsidRPr="009F0EE8">
        <w:rPr>
          <w:rFonts w:ascii="Calibri" w:eastAsia="Calibri" w:hAnsi="Calibri" w:cs="Calibri"/>
          <w:color w:val="262626"/>
          <w:sz w:val="24"/>
          <w:szCs w:val="24"/>
        </w:rPr>
        <w:t>Document local practices, lessons learned, and successful strategies so other counties can replicate them.</w:t>
      </w:r>
    </w:p>
    <w:p w14:paraId="00F52D69" w14:textId="77777777" w:rsidR="00C25C07" w:rsidRPr="009F0EE8" w:rsidRDefault="00C25C07" w:rsidP="00C25C07">
      <w:pPr>
        <w:pStyle w:val="ListParagraph"/>
        <w:numPr>
          <w:ilvl w:val="0"/>
          <w:numId w:val="2"/>
        </w:numPr>
        <w:spacing w:after="90"/>
        <w:rPr>
          <w:sz w:val="24"/>
          <w:szCs w:val="24"/>
        </w:rPr>
      </w:pPr>
      <w:r w:rsidRPr="009F0EE8">
        <w:rPr>
          <w:rFonts w:ascii="Calibri" w:eastAsia="Calibri" w:hAnsi="Calibri" w:cs="Calibri"/>
          <w:color w:val="262626"/>
          <w:sz w:val="24"/>
          <w:szCs w:val="24"/>
        </w:rPr>
        <w:t>Support long-term sustainability planning for the Court Liaison role and related system improvements.</w:t>
      </w:r>
    </w:p>
    <w:p w14:paraId="46C7F166" w14:textId="0CAF48A8" w:rsidR="006F45C2" w:rsidRPr="0017120C" w:rsidRDefault="00486DE6" w:rsidP="009F0EE8">
      <w:pPr>
        <w:pStyle w:val="Heading2"/>
        <w:spacing w:before="260" w:after="120"/>
      </w:pPr>
      <w:r w:rsidRPr="0017120C">
        <w:rPr>
          <w:rFonts w:ascii="Calibri" w:eastAsia="Calibri" w:hAnsi="Calibri" w:cs="Calibri"/>
          <w:b/>
          <w:bCs/>
          <w:color w:val="1F3864"/>
        </w:rPr>
        <w:t>3. Behavioral Health Case Coordination</w:t>
      </w:r>
    </w:p>
    <w:p w14:paraId="7F84BCC7" w14:textId="1CCE866D" w:rsidR="006F45C2" w:rsidRPr="009F0EE8" w:rsidRDefault="00486DE6" w:rsidP="009F0EE8">
      <w:pPr>
        <w:spacing w:after="160"/>
        <w:rPr>
          <w:sz w:val="24"/>
          <w:szCs w:val="24"/>
        </w:rPr>
      </w:pPr>
      <w:r w:rsidRPr="009F0EE8">
        <w:rPr>
          <w:rFonts w:ascii="Calibri" w:eastAsia="Calibri" w:hAnsi="Calibri" w:cs="Calibri"/>
          <w:i/>
          <w:iCs/>
          <w:color w:val="595959"/>
          <w:sz w:val="24"/>
          <w:szCs w:val="24"/>
        </w:rPr>
        <w:t>Keeping track of where each person is</w:t>
      </w:r>
      <w:r w:rsidR="00C25C07">
        <w:rPr>
          <w:rFonts w:ascii="Calibri" w:eastAsia="Calibri" w:hAnsi="Calibri" w:cs="Calibri"/>
          <w:i/>
          <w:iCs/>
          <w:color w:val="595959"/>
          <w:sz w:val="24"/>
          <w:szCs w:val="24"/>
        </w:rPr>
        <w:t xml:space="preserve"> in the mental health</w:t>
      </w:r>
      <w:r w:rsidRPr="009F0EE8">
        <w:rPr>
          <w:rFonts w:ascii="Calibri" w:eastAsia="Calibri" w:hAnsi="Calibri" w:cs="Calibri"/>
          <w:i/>
          <w:iCs/>
          <w:color w:val="595959"/>
          <w:sz w:val="24"/>
          <w:szCs w:val="24"/>
        </w:rPr>
        <w:t xml:space="preserve"> process</w:t>
      </w:r>
      <w:r w:rsidR="00C25C07">
        <w:rPr>
          <w:rFonts w:ascii="Calibri" w:eastAsia="Calibri" w:hAnsi="Calibri" w:cs="Calibri"/>
          <w:i/>
          <w:iCs/>
          <w:color w:val="595959"/>
          <w:sz w:val="24"/>
          <w:szCs w:val="24"/>
        </w:rPr>
        <w:t>es</w:t>
      </w:r>
      <w:r w:rsidR="00D45F40" w:rsidRPr="009F0EE8">
        <w:rPr>
          <w:rFonts w:ascii="Calibri" w:eastAsia="Calibri" w:hAnsi="Calibri" w:cs="Calibri"/>
          <w:i/>
          <w:iCs/>
          <w:color w:val="595959"/>
          <w:sz w:val="24"/>
          <w:szCs w:val="24"/>
        </w:rPr>
        <w:t>,</w:t>
      </w:r>
      <w:r w:rsidR="00C25C07">
        <w:rPr>
          <w:rFonts w:ascii="Calibri" w:eastAsia="Calibri" w:hAnsi="Calibri" w:cs="Calibri"/>
          <w:i/>
          <w:iCs/>
          <w:color w:val="595959"/>
          <w:sz w:val="24"/>
          <w:szCs w:val="24"/>
        </w:rPr>
        <w:t xml:space="preserve"> specifically competency restoration,</w:t>
      </w:r>
      <w:r w:rsidRPr="009F0EE8">
        <w:rPr>
          <w:rFonts w:ascii="Calibri" w:eastAsia="Calibri" w:hAnsi="Calibri" w:cs="Calibri"/>
          <w:i/>
          <w:iCs/>
          <w:color w:val="595959"/>
          <w:sz w:val="24"/>
          <w:szCs w:val="24"/>
        </w:rPr>
        <w:t xml:space="preserve"> so </w:t>
      </w:r>
      <w:r w:rsidR="00C25C07">
        <w:rPr>
          <w:rFonts w:ascii="Calibri" w:eastAsia="Calibri" w:hAnsi="Calibri" w:cs="Calibri"/>
          <w:i/>
          <w:iCs/>
          <w:color w:val="595959"/>
          <w:sz w:val="24"/>
          <w:szCs w:val="24"/>
        </w:rPr>
        <w:t>no one</w:t>
      </w:r>
      <w:r w:rsidRPr="009F0EE8">
        <w:rPr>
          <w:rFonts w:ascii="Calibri" w:eastAsia="Calibri" w:hAnsi="Calibri" w:cs="Calibri"/>
          <w:i/>
          <w:iCs/>
          <w:color w:val="595959"/>
          <w:sz w:val="24"/>
          <w:szCs w:val="24"/>
        </w:rPr>
        <w:t xml:space="preserve"> falls through the cracks.</w:t>
      </w:r>
    </w:p>
    <w:p w14:paraId="224B1F9F"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Track and coordinate information on</w:t>
      </w:r>
      <w:r w:rsidRPr="009F0EE8">
        <w:rPr>
          <w:rFonts w:ascii="Calibri" w:eastAsia="Calibri" w:hAnsi="Calibri" w:cs="Calibri"/>
          <w:color w:val="262626"/>
          <w:sz w:val="24"/>
          <w:szCs w:val="24"/>
        </w:rPr>
        <w:t xml:space="preserve"> competency evaluations, restoration orders, restoration waitlists, and restoration placements (outpatient, jail-based, state hospital, or SSLC).</w:t>
      </w:r>
    </w:p>
    <w:p w14:paraId="3708DE05"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Coordinate with courts, jail staff, LMHA/LBHAs, state hospitals, SSLCs, attorneys, and other partners on transportation, paperwork, medication continuity, docketing, and status updates.</w:t>
      </w:r>
    </w:p>
    <w:p w14:paraId="6A3A35B0"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Monitor competency-related cases to help ensure the court, attorneys, jail, pretrial services, probation, and behavioral health partners have timely, relevant information.</w:t>
      </w:r>
    </w:p>
    <w:p w14:paraId="562A92E7"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Help ide</w:t>
      </w:r>
      <w:r w:rsidRPr="009F0EE8">
        <w:rPr>
          <w:rFonts w:ascii="Calibri" w:eastAsia="Calibri" w:hAnsi="Calibri" w:cs="Calibri"/>
          <w:color w:val="262626"/>
          <w:sz w:val="24"/>
          <w:szCs w:val="24"/>
        </w:rPr>
        <w:t>ntify whether alternatives to jail-based or inpatient competency restoration may be available and appropriate.</w:t>
      </w:r>
    </w:p>
    <w:p w14:paraId="69D1A7FC" w14:textId="77777777" w:rsidR="00C25C07" w:rsidRPr="009F0EE8" w:rsidRDefault="00C25C07" w:rsidP="00C25C07">
      <w:pPr>
        <w:pStyle w:val="ListParagraph"/>
        <w:numPr>
          <w:ilvl w:val="0"/>
          <w:numId w:val="2"/>
        </w:numPr>
        <w:spacing w:after="120"/>
        <w:rPr>
          <w:sz w:val="24"/>
          <w:szCs w:val="24"/>
        </w:rPr>
      </w:pPr>
      <w:r w:rsidRPr="009F0EE8">
        <w:rPr>
          <w:rFonts w:ascii="Calibri" w:eastAsia="Calibri" w:hAnsi="Calibri" w:cs="Calibri"/>
          <w:color w:val="262626"/>
          <w:sz w:val="24"/>
          <w:szCs w:val="24"/>
        </w:rPr>
        <w:t>When appropriate, help coordinate individualized transition or reentry plans involving the court, defense counsel, prosecution, jail, pretrial services, probation, LMHA/LBHA, and community providers.</w:t>
      </w:r>
    </w:p>
    <w:p w14:paraId="442C97E5" w14:textId="77777777" w:rsidR="00B10B68" w:rsidRPr="009F0EE8" w:rsidRDefault="00B10B68" w:rsidP="00B10B68">
      <w:pPr>
        <w:pStyle w:val="ListParagraph"/>
        <w:numPr>
          <w:ilvl w:val="0"/>
          <w:numId w:val="2"/>
        </w:numPr>
        <w:spacing w:after="120"/>
        <w:rPr>
          <w:sz w:val="24"/>
          <w:szCs w:val="24"/>
        </w:rPr>
      </w:pPr>
      <w:r w:rsidRPr="009F0EE8">
        <w:rPr>
          <w:rFonts w:ascii="Calibri" w:eastAsia="Calibri" w:hAnsi="Calibri" w:cs="Calibri"/>
          <w:color w:val="262626"/>
          <w:sz w:val="24"/>
          <w:szCs w:val="24"/>
        </w:rPr>
        <w:t>Help courts, attorneys, and system partners identify appropriate next steps for cases involving individuals with mental health needs, including: community resources, competency restoration options, diversion opportunities, civil processes, or reentry supports.</w:t>
      </w:r>
    </w:p>
    <w:p w14:paraId="3A528C53"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Support planning for individuals transitioning back to the community, to civil commitment, to jail, or to supervision, with attention to continuity of care and reducing repeat bookings.</w:t>
      </w:r>
    </w:p>
    <w:p w14:paraId="0BDE0EEB" w14:textId="2292B314" w:rsidR="006F45C2" w:rsidRPr="0017120C" w:rsidRDefault="00486DE6" w:rsidP="009F0EE8">
      <w:pPr>
        <w:pStyle w:val="Heading2"/>
        <w:spacing w:before="260" w:after="120"/>
      </w:pPr>
      <w:r w:rsidRPr="0017120C">
        <w:rPr>
          <w:rFonts w:ascii="Calibri" w:eastAsia="Calibri" w:hAnsi="Calibri" w:cs="Calibri"/>
          <w:b/>
          <w:bCs/>
          <w:color w:val="1F3864"/>
        </w:rPr>
        <w:t>4. Data Collection, Reporting</w:t>
      </w:r>
      <w:r w:rsidR="00600819">
        <w:rPr>
          <w:rFonts w:ascii="Calibri" w:eastAsia="Calibri" w:hAnsi="Calibri" w:cs="Calibri"/>
          <w:b/>
          <w:bCs/>
          <w:color w:val="1F3864"/>
        </w:rPr>
        <w:t>,</w:t>
      </w:r>
      <w:r w:rsidRPr="0017120C">
        <w:rPr>
          <w:rFonts w:ascii="Calibri" w:eastAsia="Calibri" w:hAnsi="Calibri" w:cs="Calibri"/>
          <w:b/>
          <w:bCs/>
          <w:color w:val="1F3864"/>
        </w:rPr>
        <w:t xml:space="preserve"> &amp; Evaluation</w:t>
      </w:r>
    </w:p>
    <w:p w14:paraId="60EEFAC7" w14:textId="77777777" w:rsidR="006F45C2" w:rsidRPr="009F0EE8" w:rsidRDefault="00486DE6" w:rsidP="009F0EE8">
      <w:pPr>
        <w:spacing w:after="160"/>
        <w:rPr>
          <w:sz w:val="24"/>
          <w:szCs w:val="24"/>
        </w:rPr>
      </w:pPr>
      <w:r w:rsidRPr="009F0EE8">
        <w:rPr>
          <w:rFonts w:ascii="Calibri" w:eastAsia="Calibri" w:hAnsi="Calibri" w:cs="Calibri"/>
          <w:i/>
          <w:iCs/>
          <w:color w:val="595959"/>
          <w:sz w:val="24"/>
          <w:szCs w:val="24"/>
        </w:rPr>
        <w:t>Turning day-to-day case activity into information the county and state can use to improve the system.</w:t>
      </w:r>
    </w:p>
    <w:p w14:paraId="4B1780FB"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Coordinate standardized case-level data collection and reporting through the centralized data portal provided by JCMH.</w:t>
      </w:r>
    </w:p>
    <w:p w14:paraId="5FBBEB1B"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T</w:t>
      </w:r>
      <w:r w:rsidRPr="009F0EE8">
        <w:rPr>
          <w:rFonts w:ascii="Calibri" w:eastAsia="Calibri" w:hAnsi="Calibri" w:cs="Calibri"/>
          <w:color w:val="262626"/>
          <w:sz w:val="24"/>
          <w:szCs w:val="24"/>
        </w:rPr>
        <w:t>rack program activity, case progression, key milestones, timelines, and points of delay.</w:t>
      </w:r>
    </w:p>
    <w:p w14:paraId="4737676A"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Submit required data to JCMH and the Texas Institute for Excellence in Mental Health (TIEMH) on the required reporting schedule.</w:t>
      </w:r>
    </w:p>
    <w:p w14:paraId="338729F8" w14:textId="5988445F"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Review and correct data quality issues—missing, incomplete, or inconsistent data—within required timeframes.</w:t>
      </w:r>
    </w:p>
    <w:p w14:paraId="6361EE7A"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Coordinate with county and state partners to obtain necessary data.</w:t>
      </w:r>
    </w:p>
    <w:p w14:paraId="3F06A0ED"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Participate in training, technical assistance, evaluation activities, and data quality reviews convened by JCMH or TI</w:t>
      </w:r>
      <w:r w:rsidRPr="009F0EE8">
        <w:rPr>
          <w:rFonts w:ascii="Calibri" w:eastAsia="Calibri" w:hAnsi="Calibri" w:cs="Calibri"/>
          <w:color w:val="262626"/>
          <w:sz w:val="24"/>
          <w:szCs w:val="24"/>
        </w:rPr>
        <w:t>EMH.</w:t>
      </w:r>
    </w:p>
    <w:p w14:paraId="7C587F6F" w14:textId="77777777" w:rsidR="006F45C2" w:rsidRPr="003B652A"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Use data to identify systemic inefficiencies, measure progress, inform local decisions, and support continuous improvement.</w:t>
      </w:r>
    </w:p>
    <w:p w14:paraId="182F9B68" w14:textId="77777777" w:rsidR="003B652A" w:rsidRPr="009F0EE8" w:rsidRDefault="003B652A" w:rsidP="003B652A">
      <w:pPr>
        <w:pStyle w:val="ListParagraph"/>
        <w:spacing w:after="120"/>
        <w:ind w:left="403"/>
        <w:rPr>
          <w:sz w:val="24"/>
          <w:szCs w:val="24"/>
        </w:rPr>
      </w:pPr>
    </w:p>
    <w:p w14:paraId="73B681FE" w14:textId="4B374659" w:rsidR="006F45C2" w:rsidRPr="009F0EE8" w:rsidRDefault="00486DE6" w:rsidP="009F0EE8">
      <w:pPr>
        <w:pStyle w:val="Heading1"/>
        <w:pBdr>
          <w:bottom w:val="single" w:sz="6" w:space="4" w:color="B08D57"/>
        </w:pBdr>
        <w:spacing w:before="360" w:after="160"/>
        <w:rPr>
          <w:sz w:val="36"/>
          <w:szCs w:val="36"/>
        </w:rPr>
      </w:pPr>
      <w:r w:rsidRPr="009F0EE8">
        <w:rPr>
          <w:rFonts w:ascii="Calibri" w:eastAsia="Calibri" w:hAnsi="Calibri" w:cs="Calibri"/>
          <w:b/>
          <w:bCs/>
          <w:color w:val="1F3864"/>
          <w:sz w:val="28"/>
          <w:szCs w:val="28"/>
        </w:rPr>
        <w:t>Knowledge, Skills</w:t>
      </w:r>
      <w:r w:rsidR="00600819">
        <w:rPr>
          <w:rFonts w:ascii="Calibri" w:eastAsia="Calibri" w:hAnsi="Calibri" w:cs="Calibri"/>
          <w:b/>
          <w:bCs/>
          <w:color w:val="1F3864"/>
          <w:sz w:val="28"/>
          <w:szCs w:val="28"/>
        </w:rPr>
        <w:t>,</w:t>
      </w:r>
      <w:r w:rsidRPr="009F0EE8">
        <w:rPr>
          <w:rFonts w:ascii="Calibri" w:eastAsia="Calibri" w:hAnsi="Calibri" w:cs="Calibri"/>
          <w:b/>
          <w:bCs/>
          <w:color w:val="1F3864"/>
          <w:sz w:val="28"/>
          <w:szCs w:val="28"/>
        </w:rPr>
        <w:t xml:space="preserve"> &amp; Abilities</w:t>
      </w:r>
    </w:p>
    <w:p w14:paraId="3BA5E157"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Excellent written and verbal communication skills.</w:t>
      </w:r>
    </w:p>
    <w:p w14:paraId="65C28804"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Strong problem-solving, facilitation, and collaboration skills.</w:t>
      </w:r>
    </w:p>
    <w:p w14:paraId="72E8F13E"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Ability to work professionally and tactfully with judges, attorneys, jail staff, behavioral health providers, law enforcement, county officials, community providers, individuals with mental health needs, and other stakeholders.</w:t>
      </w:r>
    </w:p>
    <w:p w14:paraId="6D7BD806"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 xml:space="preserve">Ability </w:t>
      </w:r>
      <w:r w:rsidRPr="009F0EE8">
        <w:rPr>
          <w:rFonts w:ascii="Calibri" w:eastAsia="Calibri" w:hAnsi="Calibri" w:cs="Calibri"/>
          <w:color w:val="262626"/>
          <w:sz w:val="24"/>
          <w:szCs w:val="24"/>
        </w:rPr>
        <w:t>to organize and manage multiple projects, deadlines, meetings, and reporting requirements with minimal supervision.</w:t>
      </w:r>
    </w:p>
    <w:p w14:paraId="431B4BCD"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Ability to collect, organize, enter, review, and report case-level and program-level data.</w:t>
      </w:r>
    </w:p>
    <w:p w14:paraId="0937C76D"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Proficiency with Microsoft Outlook, Word, and Excel.</w:t>
      </w:r>
    </w:p>
    <w:p w14:paraId="3BEA4CCE"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Comfort using electronic data systems, county case management systems, and data portals such as REDCap, Qualtrics, or similar platforms.</w:t>
      </w:r>
    </w:p>
    <w:p w14:paraId="26915B1F"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Ability to prepare clear, concise reports on case coordination, program activities, system processes, and data tren</w:t>
      </w:r>
      <w:r w:rsidRPr="009F0EE8">
        <w:rPr>
          <w:rFonts w:ascii="Calibri" w:eastAsia="Calibri" w:hAnsi="Calibri" w:cs="Calibri"/>
          <w:color w:val="262626"/>
          <w:sz w:val="24"/>
          <w:szCs w:val="24"/>
        </w:rPr>
        <w:t>ds.</w:t>
      </w:r>
    </w:p>
    <w:p w14:paraId="31617766" w14:textId="6B35ED22"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Knowledge of</w:t>
      </w:r>
      <w:r w:rsidR="00D45F40" w:rsidRPr="009F0EE8">
        <w:rPr>
          <w:rFonts w:ascii="Calibri" w:eastAsia="Calibri" w:hAnsi="Calibri" w:cs="Calibri"/>
          <w:color w:val="262626"/>
          <w:sz w:val="24"/>
          <w:szCs w:val="24"/>
        </w:rPr>
        <w:t>,</w:t>
      </w:r>
      <w:r w:rsidRPr="009F0EE8">
        <w:rPr>
          <w:rFonts w:ascii="Calibri" w:eastAsia="Calibri" w:hAnsi="Calibri" w:cs="Calibri"/>
          <w:color w:val="262626"/>
          <w:sz w:val="24"/>
          <w:szCs w:val="24"/>
        </w:rPr>
        <w:t xml:space="preserve"> or willingness to learn</w:t>
      </w:r>
      <w:r w:rsidR="00D45F40" w:rsidRPr="009F0EE8">
        <w:rPr>
          <w:rFonts w:ascii="Calibri" w:eastAsia="Calibri" w:hAnsi="Calibri" w:cs="Calibri"/>
          <w:color w:val="262626"/>
          <w:sz w:val="24"/>
          <w:szCs w:val="24"/>
        </w:rPr>
        <w:t>,</w:t>
      </w:r>
      <w:r w:rsidRPr="009F0EE8">
        <w:rPr>
          <w:rFonts w:ascii="Calibri" w:eastAsia="Calibri" w:hAnsi="Calibri" w:cs="Calibri"/>
          <w:color w:val="262626"/>
          <w:sz w:val="24"/>
          <w:szCs w:val="24"/>
        </w:rPr>
        <w:t xml:space="preserve"> criminal and civil court processes related to mental health, including Article 16.22, competency, civil commitment, diversion, reentry, and community-based services.</w:t>
      </w:r>
    </w:p>
    <w:p w14:paraId="032E544F" w14:textId="04E86125"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Knowledge of</w:t>
      </w:r>
      <w:r w:rsidR="00D45F40" w:rsidRPr="009F0EE8">
        <w:rPr>
          <w:rFonts w:ascii="Calibri" w:eastAsia="Calibri" w:hAnsi="Calibri" w:cs="Calibri"/>
          <w:color w:val="262626"/>
          <w:sz w:val="24"/>
          <w:szCs w:val="24"/>
        </w:rPr>
        <w:t xml:space="preserve">, or willingness to learn, </w:t>
      </w:r>
      <w:r w:rsidRPr="009F0EE8">
        <w:rPr>
          <w:rFonts w:ascii="Calibri" w:eastAsia="Calibri" w:hAnsi="Calibri" w:cs="Calibri"/>
          <w:color w:val="262626"/>
          <w:sz w:val="24"/>
          <w:szCs w:val="24"/>
        </w:rPr>
        <w:t>local and statewide mental health, behavioral health, IDD, crisis, housing, reentry, and support services.</w:t>
      </w:r>
    </w:p>
    <w:p w14:paraId="2364FC6B"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Strong judgment, emotional intelligence, professionalism, and the ability to work effectively in stressful or time-sensitive situations.</w:t>
      </w:r>
    </w:p>
    <w:p w14:paraId="70017EDE" w14:textId="3405EBDD" w:rsidR="0017120C" w:rsidRPr="00924392" w:rsidRDefault="00486DE6" w:rsidP="0017120C">
      <w:pPr>
        <w:pStyle w:val="ListParagraph"/>
        <w:numPr>
          <w:ilvl w:val="0"/>
          <w:numId w:val="2"/>
        </w:numPr>
        <w:spacing w:after="120"/>
        <w:rPr>
          <w:sz w:val="24"/>
          <w:szCs w:val="24"/>
        </w:rPr>
      </w:pPr>
      <w:r w:rsidRPr="009F0EE8">
        <w:rPr>
          <w:rFonts w:ascii="Calibri" w:eastAsia="Calibri" w:hAnsi="Calibri" w:cs="Calibri"/>
          <w:color w:val="262626"/>
          <w:sz w:val="24"/>
          <w:szCs w:val="24"/>
        </w:rPr>
        <w:t xml:space="preserve">Ability to maintain </w:t>
      </w:r>
      <w:r w:rsidRPr="009F0EE8">
        <w:rPr>
          <w:rFonts w:ascii="Calibri" w:eastAsia="Calibri" w:hAnsi="Calibri" w:cs="Calibri"/>
          <w:color w:val="262626"/>
          <w:sz w:val="24"/>
          <w:szCs w:val="24"/>
        </w:rPr>
        <w:t>confidentiality and handle sensitive information in accordance with applicable law and county policy.</w:t>
      </w:r>
    </w:p>
    <w:p w14:paraId="596E7BA8" w14:textId="77777777" w:rsidR="00924392" w:rsidRPr="00924392" w:rsidRDefault="00924392" w:rsidP="00924392">
      <w:pPr>
        <w:pStyle w:val="ListParagraph"/>
        <w:spacing w:after="120"/>
        <w:ind w:left="403"/>
        <w:rPr>
          <w:sz w:val="24"/>
          <w:szCs w:val="24"/>
        </w:rPr>
      </w:pPr>
    </w:p>
    <w:p w14:paraId="1906F620" w14:textId="77777777" w:rsidR="006F45C2" w:rsidRPr="009F0EE8" w:rsidRDefault="00486DE6" w:rsidP="009F0EE8">
      <w:pPr>
        <w:pStyle w:val="Heading1"/>
        <w:pBdr>
          <w:bottom w:val="single" w:sz="6" w:space="4" w:color="B08D57"/>
        </w:pBdr>
        <w:spacing w:before="360" w:after="160"/>
        <w:rPr>
          <w:sz w:val="28"/>
          <w:szCs w:val="28"/>
        </w:rPr>
      </w:pPr>
      <w:r w:rsidRPr="009F0EE8">
        <w:rPr>
          <w:rFonts w:ascii="Calibri" w:eastAsia="Calibri" w:hAnsi="Calibri" w:cs="Calibri"/>
          <w:b/>
          <w:bCs/>
          <w:color w:val="1F3864"/>
          <w:sz w:val="28"/>
          <w:szCs w:val="28"/>
        </w:rPr>
        <w:t>Minimum Qualifications</w:t>
      </w:r>
    </w:p>
    <w:p w14:paraId="3B1CE2CC"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Bachelor's degree from an accredited college or university in social work, psychology, public health, public policy, sociology, criminal justice, counseling, behavioral health, public administration, or a related field.</w:t>
      </w:r>
    </w:p>
    <w:p w14:paraId="5E357649"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Experience working with courts, behavioral health systems, criminal justice systems, social services, community coordination, case management, program coordination, o</w:t>
      </w:r>
      <w:r w:rsidRPr="009F0EE8">
        <w:rPr>
          <w:rFonts w:ascii="Calibri" w:eastAsia="Calibri" w:hAnsi="Calibri" w:cs="Calibri"/>
          <w:color w:val="262626"/>
          <w:sz w:val="24"/>
          <w:szCs w:val="24"/>
        </w:rPr>
        <w:t>r related systems.</w:t>
      </w:r>
    </w:p>
    <w:p w14:paraId="4407C7FA" w14:textId="77777777" w:rsidR="006F45C2" w:rsidRPr="009F0EE8"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Ability to pass required background checks.</w:t>
      </w:r>
    </w:p>
    <w:p w14:paraId="798FAC84" w14:textId="77777777" w:rsidR="006F45C2" w:rsidRPr="00924392" w:rsidRDefault="00486DE6" w:rsidP="009F0EE8">
      <w:pPr>
        <w:pStyle w:val="ListParagraph"/>
        <w:numPr>
          <w:ilvl w:val="0"/>
          <w:numId w:val="2"/>
        </w:numPr>
        <w:spacing w:after="120"/>
        <w:rPr>
          <w:sz w:val="24"/>
          <w:szCs w:val="24"/>
        </w:rPr>
      </w:pPr>
      <w:r w:rsidRPr="009F0EE8">
        <w:rPr>
          <w:rFonts w:ascii="Calibri" w:eastAsia="Calibri" w:hAnsi="Calibri" w:cs="Calibri"/>
          <w:color w:val="262626"/>
          <w:sz w:val="24"/>
          <w:szCs w:val="24"/>
        </w:rPr>
        <w:t>Valid Texas driver's license and good driving record, if travel is required by the county.</w:t>
      </w:r>
    </w:p>
    <w:p w14:paraId="2EEDC9F4" w14:textId="77777777" w:rsidR="00924392" w:rsidRDefault="00924392" w:rsidP="00924392">
      <w:pPr>
        <w:pStyle w:val="ListParagraph"/>
        <w:spacing w:after="120"/>
        <w:ind w:left="403"/>
        <w:rPr>
          <w:rFonts w:ascii="Calibri" w:eastAsia="Calibri" w:hAnsi="Calibri" w:cs="Calibri"/>
          <w:color w:val="262626"/>
          <w:sz w:val="24"/>
          <w:szCs w:val="24"/>
        </w:rPr>
      </w:pPr>
    </w:p>
    <w:p w14:paraId="2F0911CE" w14:textId="77777777" w:rsidR="00924392" w:rsidRPr="009F0EE8" w:rsidRDefault="00924392" w:rsidP="00924392">
      <w:pPr>
        <w:pStyle w:val="ListParagraph"/>
        <w:spacing w:after="120"/>
        <w:ind w:left="403"/>
        <w:rPr>
          <w:sz w:val="24"/>
          <w:szCs w:val="24"/>
        </w:rPr>
      </w:pPr>
    </w:p>
    <w:p w14:paraId="17DA36F9" w14:textId="77777777" w:rsidR="006F45C2" w:rsidRPr="009F0EE8" w:rsidRDefault="00486DE6" w:rsidP="009F0EE8">
      <w:pPr>
        <w:pStyle w:val="Heading1"/>
        <w:pBdr>
          <w:bottom w:val="single" w:sz="6" w:space="4" w:color="B08D57"/>
        </w:pBdr>
        <w:spacing w:before="360" w:after="160"/>
        <w:rPr>
          <w:sz w:val="36"/>
          <w:szCs w:val="36"/>
        </w:rPr>
      </w:pPr>
      <w:r w:rsidRPr="009F0EE8">
        <w:rPr>
          <w:rFonts w:ascii="Calibri" w:eastAsia="Calibri" w:hAnsi="Calibri" w:cs="Calibri"/>
          <w:b/>
          <w:bCs/>
          <w:color w:val="1F3864"/>
          <w:sz w:val="28"/>
          <w:szCs w:val="28"/>
        </w:rPr>
        <w:t>Preferred Qualifications</w:t>
      </w:r>
    </w:p>
    <w:p w14:paraId="297B9B0B" w14:textId="77777777" w:rsidR="006F45C2" w:rsidRPr="009F0EE8" w:rsidRDefault="00486DE6" w:rsidP="009F0EE8">
      <w:pPr>
        <w:pStyle w:val="ListParagraph"/>
        <w:numPr>
          <w:ilvl w:val="0"/>
          <w:numId w:val="2"/>
        </w:numPr>
        <w:spacing w:after="90"/>
        <w:rPr>
          <w:sz w:val="24"/>
          <w:szCs w:val="24"/>
        </w:rPr>
      </w:pPr>
      <w:r w:rsidRPr="009F0EE8">
        <w:rPr>
          <w:rFonts w:ascii="Calibri" w:eastAsia="Calibri" w:hAnsi="Calibri" w:cs="Calibri"/>
          <w:color w:val="262626"/>
          <w:sz w:val="24"/>
          <w:szCs w:val="24"/>
        </w:rPr>
        <w:t>Experience working with individuals with serious mental illness, substance use disorders, intellectual or developmental disabilities, or co-occurring needs.</w:t>
      </w:r>
    </w:p>
    <w:p w14:paraId="05F7AB66" w14:textId="77777777" w:rsidR="006F45C2" w:rsidRPr="009F0EE8" w:rsidRDefault="00486DE6" w:rsidP="009F0EE8">
      <w:pPr>
        <w:pStyle w:val="ListParagraph"/>
        <w:numPr>
          <w:ilvl w:val="0"/>
          <w:numId w:val="2"/>
        </w:numPr>
        <w:spacing w:after="90"/>
        <w:rPr>
          <w:sz w:val="24"/>
          <w:szCs w:val="24"/>
        </w:rPr>
      </w:pPr>
      <w:r w:rsidRPr="009F0EE8">
        <w:rPr>
          <w:rFonts w:ascii="Calibri" w:eastAsia="Calibri" w:hAnsi="Calibri" w:cs="Calibri"/>
          <w:color w:val="262626"/>
          <w:sz w:val="24"/>
          <w:szCs w:val="24"/>
        </w:rPr>
        <w:t>Experience working in or with courts, jails, LMHA/LBHAs, LIDDAs, probation, pretrial services, reentry programs, crisis services, or community behavioral health providers.</w:t>
      </w:r>
    </w:p>
    <w:p w14:paraId="09771697" w14:textId="77777777" w:rsidR="006F45C2" w:rsidRPr="009F0EE8" w:rsidRDefault="00486DE6" w:rsidP="009F0EE8">
      <w:pPr>
        <w:pStyle w:val="ListParagraph"/>
        <w:numPr>
          <w:ilvl w:val="0"/>
          <w:numId w:val="2"/>
        </w:numPr>
        <w:spacing w:after="90"/>
        <w:rPr>
          <w:sz w:val="24"/>
          <w:szCs w:val="24"/>
        </w:rPr>
      </w:pPr>
      <w:r w:rsidRPr="009F0EE8">
        <w:rPr>
          <w:rFonts w:ascii="Calibri" w:eastAsia="Calibri" w:hAnsi="Calibri" w:cs="Calibri"/>
          <w:color w:val="262626"/>
          <w:sz w:val="24"/>
          <w:szCs w:val="24"/>
        </w:rPr>
        <w:t>Ex</w:t>
      </w:r>
      <w:r w:rsidRPr="009F0EE8">
        <w:rPr>
          <w:rFonts w:ascii="Calibri" w:eastAsia="Calibri" w:hAnsi="Calibri" w:cs="Calibri"/>
          <w:color w:val="262626"/>
          <w:sz w:val="24"/>
          <w:szCs w:val="24"/>
        </w:rPr>
        <w:t>perience collecting, managing, reviewing, or reporting program-level or case-level data.</w:t>
      </w:r>
    </w:p>
    <w:p w14:paraId="38AA4A9D" w14:textId="77777777" w:rsidR="006F45C2" w:rsidRPr="009F0EE8" w:rsidRDefault="00486DE6" w:rsidP="009F0EE8">
      <w:pPr>
        <w:pStyle w:val="ListParagraph"/>
        <w:numPr>
          <w:ilvl w:val="0"/>
          <w:numId w:val="2"/>
        </w:numPr>
        <w:spacing w:after="90"/>
        <w:rPr>
          <w:sz w:val="24"/>
          <w:szCs w:val="24"/>
        </w:rPr>
      </w:pPr>
      <w:r w:rsidRPr="009F0EE8">
        <w:rPr>
          <w:rFonts w:ascii="Calibri" w:eastAsia="Calibri" w:hAnsi="Calibri" w:cs="Calibri"/>
          <w:color w:val="262626"/>
          <w:sz w:val="24"/>
          <w:szCs w:val="24"/>
        </w:rPr>
        <w:t>Familiarity with Texas criminal court processes, civil commitment, competency restoration, Article 16.22, diversion, specialty courts, or reentry planning.</w:t>
      </w:r>
    </w:p>
    <w:p w14:paraId="77FD45DE" w14:textId="77777777" w:rsidR="006F45C2" w:rsidRPr="009F0EE8" w:rsidRDefault="00486DE6" w:rsidP="009F0EE8">
      <w:pPr>
        <w:pStyle w:val="ListParagraph"/>
        <w:numPr>
          <w:ilvl w:val="0"/>
          <w:numId w:val="2"/>
        </w:numPr>
        <w:spacing w:after="90"/>
        <w:rPr>
          <w:sz w:val="24"/>
          <w:szCs w:val="24"/>
        </w:rPr>
      </w:pPr>
      <w:r w:rsidRPr="009F0EE8">
        <w:rPr>
          <w:rFonts w:ascii="Calibri" w:eastAsia="Calibri" w:hAnsi="Calibri" w:cs="Calibri"/>
          <w:color w:val="262626"/>
          <w:sz w:val="24"/>
          <w:szCs w:val="24"/>
        </w:rPr>
        <w:t>Experience facilitating multidisciplinary meetings or cross-agency workgroups.</w:t>
      </w:r>
    </w:p>
    <w:p w14:paraId="4A6E57E0" w14:textId="77777777" w:rsidR="006F45C2" w:rsidRPr="00924392" w:rsidRDefault="00486DE6" w:rsidP="009F0EE8">
      <w:pPr>
        <w:pStyle w:val="ListParagraph"/>
        <w:numPr>
          <w:ilvl w:val="0"/>
          <w:numId w:val="2"/>
        </w:numPr>
        <w:spacing w:after="90"/>
        <w:rPr>
          <w:sz w:val="24"/>
          <w:szCs w:val="24"/>
        </w:rPr>
      </w:pPr>
      <w:r w:rsidRPr="009F0EE8">
        <w:rPr>
          <w:rFonts w:ascii="Calibri" w:eastAsia="Calibri" w:hAnsi="Calibri" w:cs="Calibri"/>
          <w:color w:val="262626"/>
          <w:sz w:val="24"/>
          <w:szCs w:val="24"/>
        </w:rPr>
        <w:t>Bilingual in English and Spanish preferred.</w:t>
      </w:r>
    </w:p>
    <w:p w14:paraId="444F032D" w14:textId="77777777" w:rsidR="00924392" w:rsidRPr="009F0EE8" w:rsidRDefault="00924392" w:rsidP="00924392">
      <w:pPr>
        <w:pStyle w:val="ListParagraph"/>
        <w:spacing w:after="90"/>
        <w:ind w:left="403"/>
        <w:rPr>
          <w:sz w:val="24"/>
          <w:szCs w:val="24"/>
        </w:rPr>
      </w:pPr>
    </w:p>
    <w:p w14:paraId="062DFA87" w14:textId="77777777" w:rsidR="006F45C2" w:rsidRPr="009F0EE8" w:rsidRDefault="00486DE6" w:rsidP="009F0EE8">
      <w:pPr>
        <w:pStyle w:val="Heading1"/>
        <w:pBdr>
          <w:bottom w:val="single" w:sz="6" w:space="4" w:color="B08D57"/>
        </w:pBdr>
        <w:spacing w:before="360" w:after="160"/>
        <w:rPr>
          <w:sz w:val="36"/>
          <w:szCs w:val="36"/>
        </w:rPr>
      </w:pPr>
      <w:r w:rsidRPr="009F0EE8">
        <w:rPr>
          <w:rFonts w:ascii="Calibri" w:eastAsia="Calibri" w:hAnsi="Calibri" w:cs="Calibri"/>
          <w:b/>
          <w:bCs/>
          <w:color w:val="1F3864"/>
          <w:sz w:val="28"/>
          <w:szCs w:val="28"/>
        </w:rPr>
        <w:t>Working Conditions</w:t>
      </w:r>
    </w:p>
    <w:p w14:paraId="2CF0D1D4" w14:textId="77777777" w:rsidR="006F45C2" w:rsidRPr="009F0EE8" w:rsidRDefault="00486DE6" w:rsidP="009F0EE8">
      <w:pPr>
        <w:spacing w:after="160"/>
        <w:rPr>
          <w:sz w:val="24"/>
          <w:szCs w:val="24"/>
        </w:rPr>
      </w:pPr>
      <w:r w:rsidRPr="009F0EE8">
        <w:rPr>
          <w:rFonts w:ascii="Calibri" w:eastAsia="Calibri" w:hAnsi="Calibri" w:cs="Calibri"/>
          <w:color w:val="262626"/>
          <w:sz w:val="24"/>
          <w:szCs w:val="24"/>
        </w:rPr>
        <w:t>This position may require travel within the county and occasional travel for training, technical assistance, or meetings con</w:t>
      </w:r>
      <w:r w:rsidRPr="009F0EE8">
        <w:rPr>
          <w:rFonts w:ascii="Calibri" w:eastAsia="Calibri" w:hAnsi="Calibri" w:cs="Calibri"/>
          <w:color w:val="262626"/>
          <w:sz w:val="24"/>
          <w:szCs w:val="24"/>
        </w:rPr>
        <w:t>vened by JCMH or partner organizations. Work may take place in court, jail, county office, community provider, or meeting settings. The Court Liaison must be able to work across multiple agencies, manage sensitive information, and communicate effectively with professionals across legal, behavioral health, and community systems.</w:t>
      </w:r>
    </w:p>
    <w:sectPr w:rsidR="006F45C2" w:rsidRPr="009F0EE8">
      <w:footerReference w:type="default" r:id="rId10"/>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EE68D" w14:textId="77777777" w:rsidR="00486DE6" w:rsidRDefault="00486DE6" w:rsidP="009F0EE8">
      <w:r>
        <w:separator/>
      </w:r>
    </w:p>
  </w:endnote>
  <w:endnote w:type="continuationSeparator" w:id="0">
    <w:p w14:paraId="5744A451" w14:textId="77777777" w:rsidR="00486DE6" w:rsidRDefault="00486DE6" w:rsidP="009F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158972"/>
      <w:docPartObj>
        <w:docPartGallery w:val="Page Numbers (Bottom of Page)"/>
        <w:docPartUnique/>
      </w:docPartObj>
    </w:sdtPr>
    <w:sdtEndPr/>
    <w:sdtContent>
      <w:sdt>
        <w:sdtPr>
          <w:id w:val="-1769616900"/>
          <w:docPartObj>
            <w:docPartGallery w:val="Page Numbers (Top of Page)"/>
            <w:docPartUnique/>
          </w:docPartObj>
        </w:sdtPr>
        <w:sdtEndPr/>
        <w:sdtContent>
          <w:p w14:paraId="33835DB7" w14:textId="197C138D" w:rsidR="009F0EE8" w:rsidRDefault="009F0EE8">
            <w:pPr>
              <w:pStyle w:val="Footer"/>
              <w:jc w:val="right"/>
            </w:pPr>
            <w:r w:rsidRPr="009F0EE8">
              <w:rPr>
                <w:rFonts w:ascii="Calibri" w:hAnsi="Calibri" w:cs="Calibri"/>
              </w:rPr>
              <w:t xml:space="preserve">Page </w:t>
            </w:r>
            <w:r w:rsidRPr="009F0EE8">
              <w:rPr>
                <w:rFonts w:ascii="Calibri" w:hAnsi="Calibri" w:cs="Calibri"/>
              </w:rPr>
              <w:fldChar w:fldCharType="begin"/>
            </w:r>
            <w:r w:rsidRPr="009F0EE8">
              <w:rPr>
                <w:rFonts w:ascii="Calibri" w:hAnsi="Calibri" w:cs="Calibri"/>
              </w:rPr>
              <w:instrText xml:space="preserve"> PAGE </w:instrText>
            </w:r>
            <w:r w:rsidRPr="009F0EE8">
              <w:rPr>
                <w:rFonts w:ascii="Calibri" w:hAnsi="Calibri" w:cs="Calibri"/>
              </w:rPr>
              <w:fldChar w:fldCharType="separate"/>
            </w:r>
            <w:r w:rsidRPr="009F0EE8">
              <w:rPr>
                <w:rFonts w:ascii="Calibri" w:hAnsi="Calibri" w:cs="Calibri"/>
                <w:noProof/>
              </w:rPr>
              <w:t>2</w:t>
            </w:r>
            <w:r w:rsidRPr="009F0EE8">
              <w:rPr>
                <w:rFonts w:ascii="Calibri" w:hAnsi="Calibri" w:cs="Calibri"/>
              </w:rPr>
              <w:fldChar w:fldCharType="end"/>
            </w:r>
            <w:r w:rsidRPr="009F0EE8">
              <w:rPr>
                <w:rFonts w:ascii="Calibri" w:hAnsi="Calibri" w:cs="Calibri"/>
              </w:rPr>
              <w:t xml:space="preserve"> of </w:t>
            </w:r>
            <w:r w:rsidRPr="009F0EE8">
              <w:rPr>
                <w:rFonts w:ascii="Calibri" w:hAnsi="Calibri" w:cs="Calibri"/>
              </w:rPr>
              <w:fldChar w:fldCharType="begin"/>
            </w:r>
            <w:r w:rsidRPr="009F0EE8">
              <w:rPr>
                <w:rFonts w:ascii="Calibri" w:hAnsi="Calibri" w:cs="Calibri"/>
              </w:rPr>
              <w:instrText xml:space="preserve"> NUMPAGES  </w:instrText>
            </w:r>
            <w:r w:rsidRPr="009F0EE8">
              <w:rPr>
                <w:rFonts w:ascii="Calibri" w:hAnsi="Calibri" w:cs="Calibri"/>
              </w:rPr>
              <w:fldChar w:fldCharType="separate"/>
            </w:r>
            <w:r w:rsidRPr="009F0EE8">
              <w:rPr>
                <w:rFonts w:ascii="Calibri" w:hAnsi="Calibri" w:cs="Calibri"/>
                <w:noProof/>
              </w:rPr>
              <w:t>2</w:t>
            </w:r>
            <w:r w:rsidRPr="009F0EE8">
              <w:rPr>
                <w:rFonts w:ascii="Calibri" w:hAnsi="Calibri" w:cs="Calibri"/>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2BEB8" w14:textId="77777777" w:rsidR="00486DE6" w:rsidRDefault="00486DE6" w:rsidP="009F0EE8">
      <w:r>
        <w:separator/>
      </w:r>
    </w:p>
  </w:footnote>
  <w:footnote w:type="continuationSeparator" w:id="0">
    <w:p w14:paraId="31E2531B" w14:textId="77777777" w:rsidR="00486DE6" w:rsidRDefault="00486DE6" w:rsidP="009F0E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D4143"/>
    <w:multiLevelType w:val="hybridMultilevel"/>
    <w:tmpl w:val="B572664C"/>
    <w:lvl w:ilvl="0" w:tplc="CD8E39B0">
      <w:start w:val="1"/>
      <w:numFmt w:val="bullet"/>
      <w:lvlText w:val="•"/>
      <w:lvlJc w:val="left"/>
      <w:pPr>
        <w:ind w:left="403" w:hanging="259"/>
      </w:pPr>
    </w:lvl>
    <w:lvl w:ilvl="1" w:tplc="5EEE558A">
      <w:start w:val="1"/>
      <w:numFmt w:val="bullet"/>
      <w:lvlText w:val="–"/>
      <w:lvlJc w:val="left"/>
      <w:pPr>
        <w:ind w:left="792" w:hanging="259"/>
      </w:pPr>
    </w:lvl>
    <w:lvl w:ilvl="2" w:tplc="17DEF5C2">
      <w:numFmt w:val="decimal"/>
      <w:lvlText w:val=""/>
      <w:lvlJc w:val="left"/>
    </w:lvl>
    <w:lvl w:ilvl="3" w:tplc="B6266726">
      <w:numFmt w:val="decimal"/>
      <w:lvlText w:val=""/>
      <w:lvlJc w:val="left"/>
    </w:lvl>
    <w:lvl w:ilvl="4" w:tplc="BDD8769C">
      <w:numFmt w:val="decimal"/>
      <w:lvlText w:val=""/>
      <w:lvlJc w:val="left"/>
    </w:lvl>
    <w:lvl w:ilvl="5" w:tplc="9D7E6A24">
      <w:numFmt w:val="decimal"/>
      <w:lvlText w:val=""/>
      <w:lvlJc w:val="left"/>
    </w:lvl>
    <w:lvl w:ilvl="6" w:tplc="3FDC59CC">
      <w:numFmt w:val="decimal"/>
      <w:lvlText w:val=""/>
      <w:lvlJc w:val="left"/>
    </w:lvl>
    <w:lvl w:ilvl="7" w:tplc="3C7A71C8">
      <w:numFmt w:val="decimal"/>
      <w:lvlText w:val=""/>
      <w:lvlJc w:val="left"/>
    </w:lvl>
    <w:lvl w:ilvl="8" w:tplc="9572BB98">
      <w:numFmt w:val="decimal"/>
      <w:lvlText w:val=""/>
      <w:lvlJc w:val="left"/>
    </w:lvl>
  </w:abstractNum>
  <w:abstractNum w:abstractNumId="1" w15:restartNumberingAfterBreak="0">
    <w:nsid w:val="395B2738"/>
    <w:multiLevelType w:val="hybridMultilevel"/>
    <w:tmpl w:val="6CF205F2"/>
    <w:lvl w:ilvl="0" w:tplc="6AA484B4">
      <w:start w:val="1"/>
      <w:numFmt w:val="bullet"/>
      <w:lvlText w:val="●"/>
      <w:lvlJc w:val="left"/>
      <w:pPr>
        <w:ind w:left="720" w:hanging="360"/>
      </w:pPr>
    </w:lvl>
    <w:lvl w:ilvl="1" w:tplc="538464EC">
      <w:start w:val="1"/>
      <w:numFmt w:val="bullet"/>
      <w:lvlText w:val="○"/>
      <w:lvlJc w:val="left"/>
      <w:pPr>
        <w:ind w:left="1440" w:hanging="360"/>
      </w:pPr>
    </w:lvl>
    <w:lvl w:ilvl="2" w:tplc="333C09EA">
      <w:start w:val="1"/>
      <w:numFmt w:val="bullet"/>
      <w:lvlText w:val="■"/>
      <w:lvlJc w:val="left"/>
      <w:pPr>
        <w:ind w:left="2160" w:hanging="360"/>
      </w:pPr>
    </w:lvl>
    <w:lvl w:ilvl="3" w:tplc="B2D050C0">
      <w:start w:val="1"/>
      <w:numFmt w:val="bullet"/>
      <w:lvlText w:val="●"/>
      <w:lvlJc w:val="left"/>
      <w:pPr>
        <w:ind w:left="2880" w:hanging="360"/>
      </w:pPr>
    </w:lvl>
    <w:lvl w:ilvl="4" w:tplc="30848F88">
      <w:start w:val="1"/>
      <w:numFmt w:val="bullet"/>
      <w:lvlText w:val="○"/>
      <w:lvlJc w:val="left"/>
      <w:pPr>
        <w:ind w:left="3600" w:hanging="360"/>
      </w:pPr>
    </w:lvl>
    <w:lvl w:ilvl="5" w:tplc="FEA0E834">
      <w:start w:val="1"/>
      <w:numFmt w:val="bullet"/>
      <w:lvlText w:val="■"/>
      <w:lvlJc w:val="left"/>
      <w:pPr>
        <w:ind w:left="4320" w:hanging="360"/>
      </w:pPr>
    </w:lvl>
    <w:lvl w:ilvl="6" w:tplc="9BE07C5E">
      <w:start w:val="1"/>
      <w:numFmt w:val="bullet"/>
      <w:lvlText w:val="●"/>
      <w:lvlJc w:val="left"/>
      <w:pPr>
        <w:ind w:left="5040" w:hanging="360"/>
      </w:pPr>
    </w:lvl>
    <w:lvl w:ilvl="7" w:tplc="B71EA6BC">
      <w:start w:val="1"/>
      <w:numFmt w:val="bullet"/>
      <w:lvlText w:val="●"/>
      <w:lvlJc w:val="left"/>
      <w:pPr>
        <w:ind w:left="5760" w:hanging="360"/>
      </w:pPr>
    </w:lvl>
    <w:lvl w:ilvl="8" w:tplc="149055F8">
      <w:start w:val="1"/>
      <w:numFmt w:val="bullet"/>
      <w:lvlText w:val="●"/>
      <w:lvlJc w:val="left"/>
      <w:pPr>
        <w:ind w:left="6480" w:hanging="360"/>
      </w:pPr>
    </w:lvl>
  </w:abstractNum>
  <w:num w:numId="1" w16cid:durableId="1828747812">
    <w:abstractNumId w:val="1"/>
    <w:lvlOverride w:ilvl="0">
      <w:startOverride w:val="1"/>
    </w:lvlOverride>
  </w:num>
  <w:num w:numId="2" w16cid:durableId="4250069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5C2"/>
    <w:rsid w:val="000A0A33"/>
    <w:rsid w:val="000A1702"/>
    <w:rsid w:val="00136294"/>
    <w:rsid w:val="00160ABD"/>
    <w:rsid w:val="0017120C"/>
    <w:rsid w:val="001A136F"/>
    <w:rsid w:val="001C6CAD"/>
    <w:rsid w:val="00204AB8"/>
    <w:rsid w:val="00211031"/>
    <w:rsid w:val="0025221D"/>
    <w:rsid w:val="00354EB7"/>
    <w:rsid w:val="003A2FE7"/>
    <w:rsid w:val="003B652A"/>
    <w:rsid w:val="00486DE6"/>
    <w:rsid w:val="00492424"/>
    <w:rsid w:val="005515D5"/>
    <w:rsid w:val="005C0D94"/>
    <w:rsid w:val="00600819"/>
    <w:rsid w:val="00662455"/>
    <w:rsid w:val="006772EE"/>
    <w:rsid w:val="006A6A13"/>
    <w:rsid w:val="006F45C2"/>
    <w:rsid w:val="007476D6"/>
    <w:rsid w:val="00755C93"/>
    <w:rsid w:val="00772E55"/>
    <w:rsid w:val="007B1D01"/>
    <w:rsid w:val="008639D6"/>
    <w:rsid w:val="008C5C39"/>
    <w:rsid w:val="00924392"/>
    <w:rsid w:val="009747A1"/>
    <w:rsid w:val="00991F22"/>
    <w:rsid w:val="009D26A7"/>
    <w:rsid w:val="009F0EE8"/>
    <w:rsid w:val="009F4F76"/>
    <w:rsid w:val="00A04B78"/>
    <w:rsid w:val="00A849F9"/>
    <w:rsid w:val="00AB73F2"/>
    <w:rsid w:val="00B10B68"/>
    <w:rsid w:val="00B202E2"/>
    <w:rsid w:val="00B9345F"/>
    <w:rsid w:val="00C12AA7"/>
    <w:rsid w:val="00C25C07"/>
    <w:rsid w:val="00CC168E"/>
    <w:rsid w:val="00CF5F83"/>
    <w:rsid w:val="00D21C55"/>
    <w:rsid w:val="00D45F40"/>
    <w:rsid w:val="00D85D59"/>
    <w:rsid w:val="00D87597"/>
    <w:rsid w:val="00DA2628"/>
    <w:rsid w:val="00E75402"/>
    <w:rsid w:val="00EC4084"/>
    <w:rsid w:val="00EE4733"/>
    <w:rsid w:val="00F06FE9"/>
    <w:rsid w:val="00F154E8"/>
    <w:rsid w:val="00F57121"/>
    <w:rsid w:val="00F8375E"/>
    <w:rsid w:val="00FD3BEF"/>
    <w:rsid w:val="00FF14E8"/>
    <w:rsid w:val="26213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95484"/>
  <w15:docId w15:val="{3A49FDD4-37D5-43C7-B152-01CEACE10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F0EE8"/>
    <w:pPr>
      <w:tabs>
        <w:tab w:val="center" w:pos="4680"/>
        <w:tab w:val="right" w:pos="9360"/>
      </w:tabs>
    </w:pPr>
  </w:style>
  <w:style w:type="character" w:customStyle="1" w:styleId="HeaderChar">
    <w:name w:val="Header Char"/>
    <w:basedOn w:val="DefaultParagraphFont"/>
    <w:link w:val="Header"/>
    <w:uiPriority w:val="99"/>
    <w:rsid w:val="009F0EE8"/>
  </w:style>
  <w:style w:type="paragraph" w:styleId="Footer">
    <w:name w:val="footer"/>
    <w:basedOn w:val="Normal"/>
    <w:link w:val="FooterChar"/>
    <w:uiPriority w:val="99"/>
    <w:unhideWhenUsed/>
    <w:rsid w:val="009F0EE8"/>
    <w:pPr>
      <w:tabs>
        <w:tab w:val="center" w:pos="4680"/>
        <w:tab w:val="right" w:pos="9360"/>
      </w:tabs>
    </w:pPr>
  </w:style>
  <w:style w:type="character" w:customStyle="1" w:styleId="FooterChar">
    <w:name w:val="Footer Char"/>
    <w:basedOn w:val="DefaultParagraphFont"/>
    <w:link w:val="Footer"/>
    <w:uiPriority w:val="99"/>
    <w:rsid w:val="009F0EE8"/>
  </w:style>
  <w:style w:type="table" w:styleId="PlainTable1">
    <w:name w:val="Plain Table 1"/>
    <w:basedOn w:val="TableNormal"/>
    <w:uiPriority w:val="41"/>
    <w:rsid w:val="0092439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9c64d2-5bfe-4675-8f5a-7cd664c23fca" xsi:nil="true"/>
    <lcf76f155ced4ddcb4097134ff3c332f xmlns="c0da92a9-6c36-44fe-9eaf-f312dcf65c3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54804D92780F4E849B46D1E27A8655" ma:contentTypeVersion="4" ma:contentTypeDescription="Create a new document." ma:contentTypeScope="" ma:versionID="0ab97557d2a003cd5d145500ba27289b">
  <xsd:schema xmlns:xsd="http://www.w3.org/2001/XMLSchema" xmlns:xs="http://www.w3.org/2001/XMLSchema" xmlns:p="http://schemas.microsoft.com/office/2006/metadata/properties" xmlns:ns2="f6ed4d45-669a-401c-99cb-ad69055a544a" xmlns:ns3="ecc9bc1c-7b31-4a0a-9171-5ab82134181d" xmlns:ns4="c0da92a9-6c36-44fe-9eaf-f312dcf65c3c" xmlns:ns5="e19c64d2-5bfe-4675-8f5a-7cd664c23fca" targetNamespace="http://schemas.microsoft.com/office/2006/metadata/properties" ma:root="true" ma:fieldsID="e9f583ce74ccd91a82ed310d768f7044" ns2:_="" ns3:_="" ns4:_="" ns5:_="">
    <xsd:import namespace="f6ed4d45-669a-401c-99cb-ad69055a544a"/>
    <xsd:import namespace="ecc9bc1c-7b31-4a0a-9171-5ab82134181d"/>
    <xsd:import namespace="c0da92a9-6c36-44fe-9eaf-f312dcf65c3c"/>
    <xsd:import namespace="e19c64d2-5bfe-4675-8f5a-7cd664c23fc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ed4d45-669a-401c-99cb-ad69055a544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c9bc1c-7b31-4a0a-9171-5ab8213418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da92a9-6c36-44fe-9eaf-f312dcf65c3c"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cae85ee-045a-4321-bce0-18bfe832278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19c64d2-5bfe-4675-8f5a-7cd664c23fc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c975e1df-0466-4462-af23-40407139dd6a}" ma:internalName="TaxCatchAll" ma:showField="CatchAllData" ma:web="e19c64d2-5bfe-4675-8f5a-7cd664c23f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D2BB5B-1B9E-4431-95CA-347C5A0ED74F}">
  <ds:schemaRefs>
    <ds:schemaRef ds:uri="http://schemas.microsoft.com/sharepoint/v3/contenttype/forms"/>
  </ds:schemaRefs>
</ds:datastoreItem>
</file>

<file path=customXml/itemProps2.xml><?xml version="1.0" encoding="utf-8"?>
<ds:datastoreItem xmlns:ds="http://schemas.openxmlformats.org/officeDocument/2006/customXml" ds:itemID="{5CE5A395-5AC7-4A3D-82C9-C108A4BA05B3}">
  <ds:schemaRefs>
    <ds:schemaRef ds:uri="http://schemas.microsoft.com/office/2006/metadata/properties"/>
    <ds:schemaRef ds:uri="http://schemas.microsoft.com/office/infopath/2007/PartnerControls"/>
    <ds:schemaRef ds:uri="e19c64d2-5bfe-4675-8f5a-7cd664c23fca"/>
    <ds:schemaRef ds:uri="c0da92a9-6c36-44fe-9eaf-f312dcf65c3c"/>
  </ds:schemaRefs>
</ds:datastoreItem>
</file>

<file path=customXml/itemProps3.xml><?xml version="1.0" encoding="utf-8"?>
<ds:datastoreItem xmlns:ds="http://schemas.openxmlformats.org/officeDocument/2006/customXml" ds:itemID="{621535DB-C063-4910-A777-1D9CB1413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ed4d45-669a-401c-99cb-ad69055a544a"/>
    <ds:schemaRef ds:uri="ecc9bc1c-7b31-4a0a-9171-5ab82134181d"/>
    <ds:schemaRef ds:uri="c0da92a9-6c36-44fe-9eaf-f312dcf65c3c"/>
    <ds:schemaRef ds:uri="e19c64d2-5bfe-4675-8f5a-7cd664c23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1883</Words>
  <Characters>10735</Characters>
  <Application>Microsoft Office Word</Application>
  <DocSecurity>4</DocSecurity>
  <Lines>89</Lines>
  <Paragraphs>25</Paragraphs>
  <ScaleCrop>false</ScaleCrop>
  <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Kama Harris</cp:lastModifiedBy>
  <cp:revision>32</cp:revision>
  <cp:lastPrinted>2026-07-01T21:08:00Z</cp:lastPrinted>
  <dcterms:created xsi:type="dcterms:W3CDTF">2026-07-01T20:50:00Z</dcterms:created>
  <dcterms:modified xsi:type="dcterms:W3CDTF">2026-07-06T20:49:00Z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2026-07-01T18:50:05Z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af8c2e54-e86d-4d88-835e-891b649d5bcb</vt:lpwstr>
  </property>
  <property fmtid="{D5CDD505-2E9C-101B-9397-08002B2CF9AE}" pid="7" name="MSIP_Label_defa4170-0d19-0005-0004-bc88714345d2_ActionId">
    <vt:lpwstr>c36d393e-cd1d-4ff3-bbde-96b685b31585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0x0101000554804D92780F4E849B46D1E27A8655</vt:lpwstr>
  </property>
  <property fmtid="{D5CDD505-2E9C-101B-9397-08002B2CF9AE}" pid="11" name="MediaServiceImageTags">
    <vt:lpwstr/>
  </property>
</Properties>
</file>